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8428C" w14:textId="77777777" w:rsidR="00B14B81" w:rsidRPr="00B14B81" w:rsidRDefault="00B14B81" w:rsidP="00B14B81">
      <w:pPr>
        <w:rPr>
          <w:rFonts w:ascii="Calibri" w:eastAsia="Calibri" w:hAnsi="Calibri" w:cs="Times New Roman"/>
        </w:rPr>
      </w:pPr>
      <w:r w:rsidRPr="00B14B81">
        <w:rPr>
          <w:rFonts w:ascii="Calibri" w:eastAsia="Calibri" w:hAnsi="Calibri" w:cs="Times New Roman"/>
          <w:noProof/>
        </w:rPr>
        <w:drawing>
          <wp:anchor distT="0" distB="0" distL="114300" distR="114300" simplePos="0" relativeHeight="251669504" behindDoc="1" locked="0" layoutInCell="1" allowOverlap="1" wp14:anchorId="105DD2BF" wp14:editId="7A6AB3B6">
            <wp:simplePos x="0" y="0"/>
            <wp:positionH relativeFrom="margin">
              <wp:posOffset>-4067034</wp:posOffset>
            </wp:positionH>
            <wp:positionV relativeFrom="paragraph">
              <wp:posOffset>996286</wp:posOffset>
            </wp:positionV>
            <wp:extent cx="10988861" cy="7560859"/>
            <wp:effectExtent l="0" t="0" r="317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gbep big x word (1).jpg"/>
                    <pic:cNvPicPr/>
                  </pic:nvPicPr>
                  <pic:blipFill>
                    <a:blip r:embed="rId11">
                      <a:extLst>
                        <a:ext uri="{BEBA8EAE-BF5A-486C-A8C5-ECC9F3942E4B}">
                          <a14:imgProps xmlns:a14="http://schemas.microsoft.com/office/drawing/2010/main">
                            <a14:imgLayer r:embed="rId12">
                              <a14:imgEffect>
                                <a14:artisticGlowDiffused trans="58000" intensity="10"/>
                              </a14:imgEffect>
                            </a14:imgLayer>
                          </a14:imgProps>
                        </a:ext>
                        <a:ext uri="{28A0092B-C50C-407E-A947-70E740481C1C}">
                          <a14:useLocalDpi xmlns:a14="http://schemas.microsoft.com/office/drawing/2010/main" val="0"/>
                        </a:ext>
                      </a:extLst>
                    </a:blip>
                    <a:stretch>
                      <a:fillRect/>
                    </a:stretch>
                  </pic:blipFill>
                  <pic:spPr>
                    <a:xfrm>
                      <a:off x="0" y="0"/>
                      <a:ext cx="10991726" cy="7562830"/>
                    </a:xfrm>
                    <a:prstGeom prst="rect">
                      <a:avLst/>
                    </a:prstGeom>
                    <a:effectLst/>
                  </pic:spPr>
                </pic:pic>
              </a:graphicData>
            </a:graphic>
            <wp14:sizeRelH relativeFrom="page">
              <wp14:pctWidth>0</wp14:pctWidth>
            </wp14:sizeRelH>
            <wp14:sizeRelV relativeFrom="page">
              <wp14:pctHeight>0</wp14:pctHeight>
            </wp14:sizeRelV>
          </wp:anchor>
        </w:drawing>
      </w:r>
      <w:r w:rsidRPr="00B14B81">
        <w:rPr>
          <w:rFonts w:ascii="Calibri" w:eastAsia="Calibri" w:hAnsi="Calibri" w:cs="Times New Roman"/>
          <w:noProof/>
        </w:rPr>
        <mc:AlternateContent>
          <mc:Choice Requires="wps">
            <w:drawing>
              <wp:anchor distT="0" distB="0" distL="114300" distR="114300" simplePos="0" relativeHeight="251672576" behindDoc="0" locked="0" layoutInCell="1" allowOverlap="1" wp14:anchorId="6A7D5483" wp14:editId="6520081E">
                <wp:simplePos x="0" y="0"/>
                <wp:positionH relativeFrom="page">
                  <wp:align>left</wp:align>
                </wp:positionH>
                <wp:positionV relativeFrom="paragraph">
                  <wp:posOffset>4524375</wp:posOffset>
                </wp:positionV>
                <wp:extent cx="7943850" cy="209550"/>
                <wp:effectExtent l="0" t="0" r="19050" b="19050"/>
                <wp:wrapNone/>
                <wp:docPr id="42" name="Rectangle 42"/>
                <wp:cNvGraphicFramePr/>
                <a:graphic xmlns:a="http://schemas.openxmlformats.org/drawingml/2006/main">
                  <a:graphicData uri="http://schemas.microsoft.com/office/word/2010/wordprocessingShape">
                    <wps:wsp>
                      <wps:cNvSpPr/>
                      <wps:spPr>
                        <a:xfrm>
                          <a:off x="0" y="0"/>
                          <a:ext cx="7943850" cy="209550"/>
                        </a:xfrm>
                        <a:prstGeom prst="rect">
                          <a:avLst/>
                        </a:prstGeom>
                        <a:solidFill>
                          <a:srgbClr val="EB861D"/>
                        </a:solidFill>
                        <a:ln w="12700" cap="flat" cmpd="sng" algn="ctr">
                          <a:solidFill>
                            <a:srgbClr val="EB861D"/>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27322350" id="Rectangle 42" o:spid="_x0000_s1026" style="position:absolute;margin-left:0;margin-top:356.25pt;width:625.5pt;height:16.5pt;z-index:25167257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" fillcolor="#eb861d" strokecolor="#eb861d" strokeweight="1pt">
                <w10:wrap anchorx="page"/>
              </v:rect>
            </w:pict>
          </mc:Fallback>
        </mc:AlternateContent>
      </w:r>
      <w:r w:rsidRPr="00B14B81">
        <w:rPr>
          <w:rFonts w:ascii="Calibri" w:eastAsia="Calibri" w:hAnsi="Calibri" w:cs="Times New Roman"/>
          <w:noProof/>
        </w:rPr>
        <mc:AlternateContent>
          <mc:Choice Requires="wps">
            <w:drawing>
              <wp:anchor distT="0" distB="0" distL="114300" distR="114300" simplePos="0" relativeHeight="251670528" behindDoc="0" locked="0" layoutInCell="1" allowOverlap="1" wp14:anchorId="18E461A2" wp14:editId="0C824B90">
                <wp:simplePos x="0" y="0"/>
                <wp:positionH relativeFrom="page">
                  <wp:align>left</wp:align>
                </wp:positionH>
                <wp:positionV relativeFrom="paragraph">
                  <wp:posOffset>2543175</wp:posOffset>
                </wp:positionV>
                <wp:extent cx="7781925" cy="219075"/>
                <wp:effectExtent l="0" t="0" r="28575" b="28575"/>
                <wp:wrapNone/>
                <wp:docPr id="120" name="Rectangle 120"/>
                <wp:cNvGraphicFramePr/>
                <a:graphic xmlns:a="http://schemas.openxmlformats.org/drawingml/2006/main">
                  <a:graphicData uri="http://schemas.microsoft.com/office/word/2010/wordprocessingShape">
                    <wps:wsp>
                      <wps:cNvSpPr/>
                      <wps:spPr>
                        <a:xfrm>
                          <a:off x="0" y="0"/>
                          <a:ext cx="7781925" cy="219075"/>
                        </a:xfrm>
                        <a:prstGeom prst="rect">
                          <a:avLst/>
                        </a:prstGeom>
                        <a:solidFill>
                          <a:srgbClr val="EB861D"/>
                        </a:solidFill>
                        <a:ln w="12700" cap="flat" cmpd="sng" algn="ctr">
                          <a:solidFill>
                            <a:srgbClr val="EB861D"/>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4D18B016" id="Rectangle 120" o:spid="_x0000_s1026" style="position:absolute;margin-left:0;margin-top:200.25pt;width:612.75pt;height:17.25pt;z-index:25167052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" fillcolor="#eb861d" strokecolor="#eb861d" strokeweight="1pt">
                <w10:wrap anchorx="page"/>
              </v:rect>
            </w:pict>
          </mc:Fallback>
        </mc:AlternateContent>
      </w:r>
      <w:r w:rsidRPr="00B14B81">
        <w:rPr>
          <w:rFonts w:ascii="Calibri" w:eastAsia="Calibri" w:hAnsi="Calibri" w:cs="Times New Roman"/>
          <w:noProof/>
        </w:rPr>
        <mc:AlternateContent>
          <mc:Choice Requires="wps">
            <w:drawing>
              <wp:anchor distT="0" distB="0" distL="114300" distR="114300" simplePos="0" relativeHeight="251671552" behindDoc="0" locked="0" layoutInCell="1" allowOverlap="1" wp14:anchorId="7D998044" wp14:editId="04DAB04F">
                <wp:simplePos x="0" y="0"/>
                <wp:positionH relativeFrom="page">
                  <wp:align>left</wp:align>
                </wp:positionH>
                <wp:positionV relativeFrom="paragraph">
                  <wp:posOffset>2762250</wp:posOffset>
                </wp:positionV>
                <wp:extent cx="7839075" cy="1832334"/>
                <wp:effectExtent l="0" t="0" r="28575" b="15875"/>
                <wp:wrapNone/>
                <wp:docPr id="121" name="Rectangle 121"/>
                <wp:cNvGraphicFramePr/>
                <a:graphic xmlns:a="http://schemas.openxmlformats.org/drawingml/2006/main">
                  <a:graphicData uri="http://schemas.microsoft.com/office/word/2010/wordprocessingShape">
                    <wps:wsp>
                      <wps:cNvSpPr/>
                      <wps:spPr>
                        <a:xfrm>
                          <a:off x="0" y="0"/>
                          <a:ext cx="7839075" cy="1832334"/>
                        </a:xfrm>
                        <a:prstGeom prst="rect">
                          <a:avLst/>
                        </a:prstGeom>
                        <a:solidFill>
                          <a:srgbClr val="004B52"/>
                        </a:solidFill>
                        <a:ln w="12700" cap="flat" cmpd="sng" algn="ctr">
                          <a:solidFill>
                            <a:srgbClr val="004B52"/>
                          </a:solidFill>
                          <a:prstDash val="solid"/>
                          <a:miter lim="800000"/>
                        </a:ln>
                        <a:effectLst/>
                      </wps:spPr>
                      <wps:txbx>
                        <w:txbxContent>
                          <w:p w14:paraId="39B2EDCF" w14:textId="74163DBD" w:rsidR="00B14B81" w:rsidRDefault="00B14B81" w:rsidP="00B14B81">
                            <w:pPr>
                              <w:rPr>
                                <w:lang w:val="en-GB"/>
                              </w:rPr>
                            </w:pPr>
                            <w:r w:rsidRPr="00B14B81">
                              <w:rPr>
                                <w:rFonts w:asciiTheme="majorHAnsi" w:eastAsiaTheme="majorEastAsia" w:hAnsiTheme="majorHAnsi" w:cstheme="majorBidi"/>
                                <w:color w:val="FFFFFF"/>
                                <w:spacing w:val="-10"/>
                                <w:kern w:val="28"/>
                                <w:sz w:val="56"/>
                                <w:szCs w:val="56"/>
                              </w:rPr>
                              <w:t>Rapid Implementation Framework for the GBEP Sustaina</w:t>
                            </w:r>
                            <w:r w:rsidR="00633095">
                              <w:rPr>
                                <w:rFonts w:asciiTheme="majorHAnsi" w:eastAsiaTheme="majorEastAsia" w:hAnsiTheme="majorHAnsi" w:cstheme="majorBidi"/>
                                <w:color w:val="FFFFFF"/>
                                <w:spacing w:val="-10"/>
                                <w:kern w:val="28"/>
                                <w:sz w:val="56"/>
                                <w:szCs w:val="56"/>
                              </w:rPr>
                              <w:t>bility Indicators for Bioenergy</w:t>
                            </w:r>
                            <w:bookmarkStart w:id="0" w:name="_GoBack"/>
                            <w:bookmarkEnd w:id="0"/>
                            <w:r w:rsidR="00633095">
                              <w:rPr>
                                <w:rFonts w:asciiTheme="majorHAnsi" w:eastAsiaTheme="majorEastAsia" w:hAnsiTheme="majorHAnsi" w:cstheme="majorBidi"/>
                                <w:color w:val="FFFFFF"/>
                                <w:spacing w:val="-10"/>
                                <w:kern w:val="28"/>
                                <w:sz w:val="56"/>
                                <w:szCs w:val="56"/>
                              </w:rPr>
                              <w:t>:</w:t>
                            </w:r>
                            <w:r w:rsidR="00ED167F">
                              <w:rPr>
                                <w:rFonts w:asciiTheme="majorHAnsi" w:eastAsiaTheme="majorEastAsia" w:hAnsiTheme="majorHAnsi" w:cstheme="majorBidi"/>
                                <w:color w:val="FFFFFF"/>
                                <w:spacing w:val="-10"/>
                                <w:kern w:val="28"/>
                                <w:sz w:val="56"/>
                                <w:szCs w:val="56"/>
                              </w:rPr>
                              <w:t xml:space="preserve"> </w:t>
                            </w:r>
                            <w:r w:rsidR="00ED167F" w:rsidRPr="00ED167F">
                              <w:rPr>
                                <w:rFonts w:asciiTheme="majorHAnsi" w:eastAsiaTheme="majorEastAsia" w:hAnsiTheme="majorHAnsi" w:cstheme="majorBidi"/>
                                <w:color w:val="ED7D31" w:themeColor="accent2"/>
                                <w:spacing w:val="-10"/>
                                <w:kern w:val="28"/>
                                <w:sz w:val="56"/>
                                <w:szCs w:val="56"/>
                              </w:rPr>
                              <w:t>Handbook</w:t>
                            </w:r>
                          </w:p>
                          <w:p w14:paraId="2059EBD4" w14:textId="030B3E56" w:rsidR="00B14B81" w:rsidRPr="00B14B81" w:rsidRDefault="00B14B81" w:rsidP="00B14B81">
                            <w:pPr>
                              <w:rPr>
                                <w:caps/>
                                <w:color w:val="FFFFFF"/>
                                <w:lang w:val="en-GB"/>
                              </w:rPr>
                            </w:pPr>
                            <w:r>
                              <w:rPr>
                                <w:rFonts w:cstheme="minorHAnsi"/>
                                <w:i/>
                              </w:rPr>
                              <w:t>December</w:t>
                            </w:r>
                            <w:r w:rsidR="00D82CE8">
                              <w:rPr>
                                <w:rFonts w:cstheme="minorHAnsi"/>
                                <w:i/>
                              </w:rPr>
                              <w:t>,</w:t>
                            </w:r>
                            <w:r w:rsidRPr="005E37AB">
                              <w:rPr>
                                <w:i/>
                                <w:lang w:val="en-GB"/>
                              </w:rPr>
                              <w:t xml:space="preserve"> </w:t>
                            </w:r>
                            <w:r>
                              <w:rPr>
                                <w:i/>
                                <w:lang w:val="en-GB"/>
                              </w:rPr>
                              <w:t>2021</w:t>
                            </w: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a:graphicData>
                </a:graphic>
                <wp14:sizeRelH relativeFrom="margin">
                  <wp14:pctWidth>0</wp14:pctWidth>
                </wp14:sizeRelH>
              </wp:anchor>
            </w:drawing>
          </mc:Choice>
          <mc:Fallback>
            <w:pict>
              <v:rect w14:anchorId="7D998044" id="Rectangle 121" o:spid="_x0000_s1026" style="position:absolute;left:0;text-align:left;margin-left:0;margin-top:217.5pt;width:617.25pt;height:144.3pt;z-index:251671552;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" fillcolor="#004b52" strokecolor="#004b52" strokeweight="1pt">
                <v:textbox inset="36pt,14.4pt,36pt,36pt">
                  <w:txbxContent>
                    <w:p w14:paraId="39B2EDCF" w14:textId="74163DBD" w:rsidR="00B14B81" w:rsidRDefault="00B14B81" w:rsidP="00B14B81">
                      <w:pPr>
                        <w:rPr>
                          <w:lang w:val="en-GB"/>
                        </w:rPr>
                      </w:pPr>
                      <w:r w:rsidRPr="00B14B81">
                        <w:rPr>
                          <w:rFonts w:asciiTheme="majorHAnsi" w:eastAsiaTheme="majorEastAsia" w:hAnsiTheme="majorHAnsi" w:cstheme="majorBidi"/>
                          <w:color w:val="FFFFFF"/>
                          <w:spacing w:val="-10"/>
                          <w:kern w:val="28"/>
                          <w:sz w:val="56"/>
                          <w:szCs w:val="56"/>
                        </w:rPr>
                        <w:t>Rapid Implementation Framework for the GBEP Sustaina</w:t>
                      </w:r>
                      <w:r w:rsidR="00633095">
                        <w:rPr>
                          <w:rFonts w:asciiTheme="majorHAnsi" w:eastAsiaTheme="majorEastAsia" w:hAnsiTheme="majorHAnsi" w:cstheme="majorBidi"/>
                          <w:color w:val="FFFFFF"/>
                          <w:spacing w:val="-10"/>
                          <w:kern w:val="28"/>
                          <w:sz w:val="56"/>
                          <w:szCs w:val="56"/>
                        </w:rPr>
                        <w:t>bility Indicators for Bioenergy</w:t>
                      </w:r>
                      <w:bookmarkStart w:id="1" w:name="_GoBack"/>
                      <w:bookmarkEnd w:id="1"/>
                      <w:r w:rsidR="00633095">
                        <w:rPr>
                          <w:rFonts w:asciiTheme="majorHAnsi" w:eastAsiaTheme="majorEastAsia" w:hAnsiTheme="majorHAnsi" w:cstheme="majorBidi"/>
                          <w:color w:val="FFFFFF"/>
                          <w:spacing w:val="-10"/>
                          <w:kern w:val="28"/>
                          <w:sz w:val="56"/>
                          <w:szCs w:val="56"/>
                        </w:rPr>
                        <w:t>:</w:t>
                      </w:r>
                      <w:r w:rsidR="00ED167F">
                        <w:rPr>
                          <w:rFonts w:asciiTheme="majorHAnsi" w:eastAsiaTheme="majorEastAsia" w:hAnsiTheme="majorHAnsi" w:cstheme="majorBidi"/>
                          <w:color w:val="FFFFFF"/>
                          <w:spacing w:val="-10"/>
                          <w:kern w:val="28"/>
                          <w:sz w:val="56"/>
                          <w:szCs w:val="56"/>
                        </w:rPr>
                        <w:t xml:space="preserve"> </w:t>
                      </w:r>
                      <w:r w:rsidR="00ED167F" w:rsidRPr="00ED167F">
                        <w:rPr>
                          <w:rFonts w:asciiTheme="majorHAnsi" w:eastAsiaTheme="majorEastAsia" w:hAnsiTheme="majorHAnsi" w:cstheme="majorBidi"/>
                          <w:color w:val="ED7D31" w:themeColor="accent2"/>
                          <w:spacing w:val="-10"/>
                          <w:kern w:val="28"/>
                          <w:sz w:val="56"/>
                          <w:szCs w:val="56"/>
                        </w:rPr>
                        <w:t>Handbook</w:t>
                      </w:r>
                    </w:p>
                    <w:p w14:paraId="2059EBD4" w14:textId="030B3E56" w:rsidR="00B14B81" w:rsidRPr="00B14B81" w:rsidRDefault="00B14B81" w:rsidP="00B14B81">
                      <w:pPr>
                        <w:rPr>
                          <w:caps/>
                          <w:color w:val="FFFFFF"/>
                          <w:lang w:val="en-GB"/>
                        </w:rPr>
                      </w:pPr>
                      <w:r>
                        <w:rPr>
                          <w:rFonts w:cstheme="minorHAnsi"/>
                          <w:i/>
                        </w:rPr>
                        <w:t>December</w:t>
                      </w:r>
                      <w:r w:rsidR="00D82CE8">
                        <w:rPr>
                          <w:rFonts w:cstheme="minorHAnsi"/>
                          <w:i/>
                        </w:rPr>
                        <w:t>,</w:t>
                      </w:r>
                      <w:r w:rsidRPr="005E37AB">
                        <w:rPr>
                          <w:i/>
                          <w:lang w:val="en-GB"/>
                        </w:rPr>
                        <w:t xml:space="preserve"> </w:t>
                      </w:r>
                      <w:r>
                        <w:rPr>
                          <w:i/>
                          <w:lang w:val="en-GB"/>
                        </w:rPr>
                        <w:t>2021</w:t>
                      </w:r>
                    </w:p>
                  </w:txbxContent>
                </v:textbox>
                <w10:wrap anchorx="page"/>
              </v:rect>
            </w:pict>
          </mc:Fallback>
        </mc:AlternateContent>
      </w:r>
      <w:r w:rsidRPr="00B14B81">
        <w:rPr>
          <w:rFonts w:ascii="Calibri" w:eastAsia="Calibri" w:hAnsi="Calibri" w:cs="Times New Roman"/>
          <w:noProof/>
        </w:rPr>
        <w:drawing>
          <wp:anchor distT="0" distB="0" distL="114300" distR="114300" simplePos="0" relativeHeight="251673600" behindDoc="0" locked="0" layoutInCell="1" allowOverlap="1" wp14:anchorId="54AA8710" wp14:editId="2D0C4BC7">
            <wp:simplePos x="914400" y="914400"/>
            <wp:positionH relativeFrom="margin">
              <wp:align>center</wp:align>
            </wp:positionH>
            <wp:positionV relativeFrom="margin">
              <wp:align>top</wp:align>
            </wp:positionV>
            <wp:extent cx="6038850" cy="659765"/>
            <wp:effectExtent l="0" t="0" r="0" b="698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itta.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038850" cy="659765"/>
                    </a:xfrm>
                    <a:prstGeom prst="rect">
                      <a:avLst/>
                    </a:prstGeom>
                  </pic:spPr>
                </pic:pic>
              </a:graphicData>
            </a:graphic>
          </wp:anchor>
        </w:drawing>
      </w:r>
    </w:p>
    <w:p w14:paraId="1B00672C" w14:textId="77777777" w:rsidR="00B14B81" w:rsidRDefault="00B14B81">
      <w:pPr>
        <w:rPr>
          <w:rFonts w:asciiTheme="majorHAnsi" w:eastAsiaTheme="majorEastAsia" w:hAnsiTheme="majorHAnsi" w:cstheme="majorBidi"/>
          <w:spacing w:val="-10"/>
          <w:kern w:val="28"/>
          <w:sz w:val="56"/>
          <w:szCs w:val="56"/>
        </w:rPr>
      </w:pPr>
      <w:r>
        <w:br w:type="page"/>
      </w:r>
    </w:p>
    <w:p w14:paraId="0A69BF87" w14:textId="0B82A462" w:rsidR="005B5FCC" w:rsidRDefault="004828E5" w:rsidP="00B14B81">
      <w:pPr>
        <w:pStyle w:val="Heading1"/>
      </w:pPr>
      <w:r>
        <w:lastRenderedPageBreak/>
        <w:t>Acknowledgements</w:t>
      </w:r>
    </w:p>
    <w:p w14:paraId="2DE8F761" w14:textId="77777777" w:rsidR="004828E5" w:rsidRPr="004828E5" w:rsidRDefault="004828E5" w:rsidP="004828E5"/>
    <w:p w14:paraId="51970648" w14:textId="26C26A60" w:rsidR="00B14B81" w:rsidRDefault="00B14B81" w:rsidP="00B14B81">
      <w:r>
        <w:t>This Handbook was prepared by Andrea Rossi and Constance Miller, with the support of Tiziana Pirelli and under the overall supervision of Maria Michela Morese</w:t>
      </w:r>
      <w:r w:rsidR="007C4A93">
        <w:t>, GBEP Executive Secretary and FAO Natural Resource Officer</w:t>
      </w:r>
      <w:r>
        <w:t xml:space="preserve">. It was prepared </w:t>
      </w:r>
      <w:r w:rsidR="00273E85" w:rsidRPr="00273E85">
        <w:t>in the framework of the FAO project “International Alliance for Climate Smart Agriculture - IACSA” (GCP/GLO/534/ITA), which was funded by the Italian Ministry of Ecological Transition (MITE) and implemented by the FAO Office of Climate Change, Biodiversity and Environment (OCB) under the coordination of Federica Matteoli (FAO), Natural Resources Officer, with Tiziana Pirel</w:t>
      </w:r>
      <w:r w:rsidR="00273E85">
        <w:t>li as Lead Technical Consultant</w:t>
      </w:r>
      <w:r w:rsidR="00273E85" w:rsidRPr="00273E85">
        <w:t>.</w:t>
      </w:r>
    </w:p>
    <w:p w14:paraId="591B8E40" w14:textId="0D4AEF66" w:rsidR="00B14B81" w:rsidRPr="004828E5" w:rsidRDefault="007533BD" w:rsidP="00B14B81">
      <w:pPr>
        <w:sectPr w:rsidR="00B14B81" w:rsidRPr="004828E5" w:rsidSect="004D3574">
          <w:footerReference w:type="default" r:id="rId14"/>
          <w:pgSz w:w="12240" w:h="15840"/>
          <w:pgMar w:top="1440" w:right="1440" w:bottom="1440" w:left="1440" w:header="720" w:footer="720" w:gutter="0"/>
          <w:cols w:space="720"/>
          <w:docGrid w:linePitch="360"/>
        </w:sectPr>
      </w:pPr>
      <w:r>
        <w:t xml:space="preserve">The authors are grateful to </w:t>
      </w:r>
      <w:r w:rsidR="006F6C4C">
        <w:t>Marco</w:t>
      </w:r>
      <w:r>
        <w:t xml:space="preserve"> Colangeli and Lorenzo Traverso of the GBEP team</w:t>
      </w:r>
      <w:r w:rsidR="006F6C4C">
        <w:t xml:space="preserve"> for their help in formulating the concept for the Rapid Implementation. </w:t>
      </w:r>
      <w:r w:rsidR="00B14B81">
        <w:t xml:space="preserve">The authors would </w:t>
      </w:r>
      <w:r w:rsidR="00C912BA">
        <w:t xml:space="preserve">also </w:t>
      </w:r>
      <w:r w:rsidR="00B14B81">
        <w:t>like to thank all GBEP Partners and Observers who provided inputs to the work, especially Olivier Dubois (FAO) and Maria Murmis (Argentina) for their detailed feedback on initial drafts.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7195"/>
      </w:tblGrid>
      <w:tr w:rsidR="003445B1" w14:paraId="2A6039E6" w14:textId="77777777" w:rsidTr="005B5FCC">
        <w:trPr>
          <w:trHeight w:val="2150"/>
        </w:trPr>
        <w:tc>
          <w:tcPr>
            <w:tcW w:w="2155" w:type="dxa"/>
          </w:tcPr>
          <w:p w14:paraId="2EFF259A" w14:textId="64862C98" w:rsidR="003445B1" w:rsidRDefault="003445B1" w:rsidP="00641230">
            <w:pPr>
              <w:pStyle w:val="Title"/>
            </w:pPr>
            <w:r>
              <w:rPr>
                <w:noProof/>
              </w:rPr>
              <w:lastRenderedPageBreak/>
              <mc:AlternateContent>
                <mc:Choice Requires="wps">
                  <w:drawing>
                    <wp:anchor distT="0" distB="0" distL="114300" distR="114300" simplePos="0" relativeHeight="251661312" behindDoc="0" locked="0" layoutInCell="1" allowOverlap="1" wp14:anchorId="4899F0ED" wp14:editId="54BC976A">
                      <wp:simplePos x="0" y="0"/>
                      <wp:positionH relativeFrom="column">
                        <wp:posOffset>42545</wp:posOffset>
                      </wp:positionH>
                      <wp:positionV relativeFrom="paragraph">
                        <wp:posOffset>107950</wp:posOffset>
                      </wp:positionV>
                      <wp:extent cx="1143000" cy="1143000"/>
                      <wp:effectExtent l="38100" t="38100" r="38100" b="38100"/>
                      <wp:wrapNone/>
                      <wp:docPr id="4" name="Oval 4"/>
                      <wp:cNvGraphicFramePr/>
                      <a:graphic xmlns:a="http://schemas.openxmlformats.org/drawingml/2006/main">
                        <a:graphicData uri="http://schemas.microsoft.com/office/word/2010/wordprocessingShape">
                          <wps:wsp>
                            <wps:cNvSpPr/>
                            <wps:spPr>
                              <a:xfrm>
                                <a:off x="0" y="0"/>
                                <a:ext cx="1143000" cy="1143000"/>
                              </a:xfrm>
                              <a:prstGeom prst="ellipse">
                                <a:avLst/>
                              </a:prstGeom>
                              <a:noFill/>
                              <a:ln w="76200">
                                <a:solidFill>
                                  <a:srgbClr val="EB861D"/>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A76D06" w14:textId="1C4211DD" w:rsidR="003445B1" w:rsidRPr="00CE1349" w:rsidRDefault="005B5FCC" w:rsidP="003445B1">
                                  <w:pPr>
                                    <w:spacing w:after="0" w:line="240" w:lineRule="auto"/>
                                    <w:jc w:val="center"/>
                                    <w:rPr>
                                      <w:color w:val="000000" w:themeColor="text1"/>
                                      <w:sz w:val="88"/>
                                      <w:szCs w:val="88"/>
                                    </w:rPr>
                                  </w:pPr>
                                  <w:r>
                                    <w:rPr>
                                      <w:color w:val="000000" w:themeColor="text1"/>
                                      <w:sz w:val="88"/>
                                      <w:szCs w:val="88"/>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oval w14:anchorId="4899F0ED" id="Oval 4" o:spid="_x0000_s1027" style="position:absolute;left:0;text-align:left;margin-left:3.35pt;margin-top:8.5pt;width:90pt;height:9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" filled="f" strokecolor="#eb861d" strokeweight="6pt">
                      <v:stroke joinstyle="miter"/>
                      <v:textbox>
                        <w:txbxContent>
                          <w:p w14:paraId="01A76D06" w14:textId="1C4211DD" w:rsidR="003445B1" w:rsidRPr="00CE1349" w:rsidRDefault="005B5FCC" w:rsidP="003445B1">
                            <w:pPr>
                              <w:spacing w:after="0" w:line="240" w:lineRule="auto"/>
                              <w:jc w:val="center"/>
                              <w:rPr>
                                <w:color w:val="000000" w:themeColor="text1"/>
                                <w:sz w:val="88"/>
                                <w:szCs w:val="88"/>
                              </w:rPr>
                            </w:pPr>
                            <w:r>
                              <w:rPr>
                                <w:color w:val="000000" w:themeColor="text1"/>
                                <w:sz w:val="88"/>
                                <w:szCs w:val="88"/>
                              </w:rPr>
                              <w:t>1</w:t>
                            </w:r>
                          </w:p>
                        </w:txbxContent>
                      </v:textbox>
                    </v:oval>
                  </w:pict>
                </mc:Fallback>
              </mc:AlternateContent>
            </w:r>
          </w:p>
        </w:tc>
        <w:tc>
          <w:tcPr>
            <w:tcW w:w="7195" w:type="dxa"/>
            <w:vAlign w:val="center"/>
          </w:tcPr>
          <w:p w14:paraId="0D5253A9" w14:textId="68AA1DF3" w:rsidR="003445B1" w:rsidRDefault="005B5FCC" w:rsidP="005B5FCC">
            <w:pPr>
              <w:pStyle w:val="Title"/>
            </w:pPr>
            <w:r>
              <w:t>INTRODUCTION</w:t>
            </w:r>
          </w:p>
        </w:tc>
      </w:tr>
    </w:tbl>
    <w:p w14:paraId="74596A2D" w14:textId="7B72AA65" w:rsidR="004D3574" w:rsidRDefault="00002F6C" w:rsidP="005B5FCC">
      <w:pPr>
        <w:rPr>
          <w:b/>
          <w:bCs/>
          <w:szCs w:val="24"/>
        </w:rPr>
      </w:pPr>
      <w:r>
        <w:rPr>
          <w:noProof/>
        </w:rPr>
        <mc:AlternateContent>
          <mc:Choice Requires="wps">
            <w:drawing>
              <wp:anchor distT="0" distB="0" distL="114300" distR="114300" simplePos="0" relativeHeight="251665408" behindDoc="0" locked="0" layoutInCell="1" allowOverlap="1" wp14:anchorId="002FAD3E" wp14:editId="018D787D">
                <wp:simplePos x="0" y="0"/>
                <wp:positionH relativeFrom="column">
                  <wp:posOffset>17145</wp:posOffset>
                </wp:positionH>
                <wp:positionV relativeFrom="paragraph">
                  <wp:posOffset>346710</wp:posOffset>
                </wp:positionV>
                <wp:extent cx="1828800" cy="1828800"/>
                <wp:effectExtent l="0" t="0" r="0" b="3810"/>
                <wp:wrapNone/>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34A11AD2" w14:textId="1DD099B3" w:rsidR="00002F6C" w:rsidRPr="000450F5" w:rsidRDefault="00002F6C" w:rsidP="00002F6C">
                            <w:pPr>
                              <w:spacing w:after="0" w:line="254" w:lineRule="auto"/>
                              <w:jc w:val="center"/>
                              <w:rPr>
                                <w:b/>
                                <w:color w:val="F7CAAC" w:themeColor="accent2" w:themeTint="66"/>
                                <w:sz w:val="72"/>
                                <w:szCs w:val="72"/>
                                <w14:textOutline w14:w="11112" w14:cap="flat" w14:cmpd="sng" w14:algn="ctr">
                                  <w14:solidFill>
                                    <w14:schemeClr w14:val="accent2"/>
                                  </w14:solidFill>
                                  <w14:prstDash w14:val="solid"/>
                                  <w14:round/>
                                </w14:textOutline>
                              </w:rPr>
                            </w:pPr>
                            <w:r>
                              <w:rPr>
                                <w:b/>
                                <w:color w:val="F7CAAC" w:themeColor="accent2" w:themeTint="66"/>
                                <w:sz w:val="72"/>
                                <w:szCs w:val="72"/>
                                <w14:textOutline w14:w="11112" w14:cap="flat" w14:cmpd="sng" w14:algn="ctr">
                                  <w14:solidFill>
                                    <w14:schemeClr w14:val="accent2"/>
                                  </w14:solidFill>
                                  <w14:prstDash w14:val="solid"/>
                                  <w14:round/>
                                </w14:textOutline>
                              </w:rPr>
                              <w:t>AIM</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002FAD3E" id="_x0000_t202" coordsize="21600,21600" o:spt="202" path="m,l,21600r21600,l21600,xe">
                <v:stroke joinstyle="miter"/>
                <v:path gradientshapeok="t" o:connecttype="rect"/>
              </v:shapetype>
              <v:shape id="Text Box 5" o:spid="_x0000_s1028" type="#_x0000_t202" style="position:absolute;left:0;text-align:left;margin-left:1.35pt;margin-top:27.3pt;width:2in;height:2in;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" filled="f" stroked="f">
                <v:textbox style="mso-fit-shape-to-text:t">
                  <w:txbxContent>
                    <w:p w14:paraId="34A11AD2" w14:textId="1DD099B3" w:rsidR="00002F6C" w:rsidRPr="000450F5" w:rsidRDefault="00002F6C" w:rsidP="00002F6C">
                      <w:pPr>
                        <w:spacing w:after="0" w:line="254" w:lineRule="auto"/>
                        <w:jc w:val="center"/>
                        <w:rPr>
                          <w:b/>
                          <w:color w:val="F7CAAC" w:themeColor="accent2" w:themeTint="66"/>
                          <w:sz w:val="72"/>
                          <w:szCs w:val="72"/>
                          <w14:textOutline w14:w="11112" w14:cap="flat" w14:cmpd="sng" w14:algn="ctr">
                            <w14:solidFill>
                              <w14:schemeClr w14:val="accent2"/>
                            </w14:solidFill>
                            <w14:prstDash w14:val="solid"/>
                            <w14:round/>
                          </w14:textOutline>
                        </w:rPr>
                      </w:pPr>
                      <w:r>
                        <w:rPr>
                          <w:b/>
                          <w:color w:val="F7CAAC" w:themeColor="accent2" w:themeTint="66"/>
                          <w:sz w:val="72"/>
                          <w:szCs w:val="72"/>
                          <w14:textOutline w14:w="11112" w14:cap="flat" w14:cmpd="sng" w14:algn="ctr">
                            <w14:solidFill>
                              <w14:schemeClr w14:val="accent2"/>
                            </w14:solidFill>
                            <w14:prstDash w14:val="solid"/>
                            <w14:round/>
                          </w14:textOutline>
                        </w:rPr>
                        <w:t>AIM</w:t>
                      </w:r>
                    </w:p>
                  </w:txbxContent>
                </v:textbox>
              </v:shape>
            </w:pict>
          </mc:Fallback>
        </mc:AlternateContent>
      </w:r>
    </w:p>
    <w:tbl>
      <w:tblPr>
        <w:tblStyle w:val="TableGrid"/>
        <w:tblW w:w="0" w:type="auto"/>
        <w:tblBorders>
          <w:top w:val="single" w:sz="18" w:space="0" w:color="EB861D"/>
          <w:left w:val="single" w:sz="18" w:space="0" w:color="EB861D"/>
          <w:bottom w:val="single" w:sz="18" w:space="0" w:color="EB861D"/>
          <w:right w:val="single" w:sz="18" w:space="0" w:color="EB861D"/>
          <w:insideH w:val="none" w:sz="0" w:space="0" w:color="auto"/>
          <w:insideV w:val="none" w:sz="0" w:space="0" w:color="auto"/>
        </w:tblBorders>
        <w:tblLook w:val="04A0" w:firstRow="1" w:lastRow="0" w:firstColumn="1" w:lastColumn="0" w:noHBand="0" w:noVBand="1"/>
      </w:tblPr>
      <w:tblGrid>
        <w:gridCol w:w="1512"/>
        <w:gridCol w:w="7802"/>
      </w:tblGrid>
      <w:tr w:rsidR="00002F6C" w14:paraId="733CD7CC" w14:textId="77777777" w:rsidTr="00B82CD9">
        <w:trPr>
          <w:trHeight w:val="1160"/>
        </w:trPr>
        <w:tc>
          <w:tcPr>
            <w:tcW w:w="1515" w:type="dxa"/>
            <w:vAlign w:val="center"/>
          </w:tcPr>
          <w:p w14:paraId="32FC2638" w14:textId="2F44BF7B" w:rsidR="00002F6C" w:rsidRDefault="00002F6C" w:rsidP="00002F6C">
            <w:pPr>
              <w:spacing w:after="140" w:line="254" w:lineRule="auto"/>
              <w:jc w:val="center"/>
              <w:rPr>
                <w:rFonts w:eastAsiaTheme="minorEastAsia"/>
                <w:szCs w:val="24"/>
              </w:rPr>
            </w:pPr>
          </w:p>
        </w:tc>
        <w:tc>
          <w:tcPr>
            <w:tcW w:w="7815" w:type="dxa"/>
            <w:vAlign w:val="center"/>
          </w:tcPr>
          <w:p w14:paraId="21130F40" w14:textId="668DC77E" w:rsidR="00002F6C" w:rsidRDefault="00002F6C" w:rsidP="00ED1174">
            <w:pPr>
              <w:spacing w:line="254" w:lineRule="auto"/>
              <w:rPr>
                <w:rFonts w:eastAsiaTheme="minorEastAsia"/>
                <w:szCs w:val="24"/>
              </w:rPr>
            </w:pPr>
            <w:r>
              <w:rPr>
                <w:rFonts w:eastAsiaTheme="minorEastAsia"/>
                <w:b/>
                <w:szCs w:val="24"/>
              </w:rPr>
              <w:t>This Chapter sets the background for the RIF, providing information on resource requirements, stakeholder engagement and the steps in the process.</w:t>
            </w:r>
          </w:p>
        </w:tc>
      </w:tr>
    </w:tbl>
    <w:p w14:paraId="43DBC142" w14:textId="77777777" w:rsidR="00002F6C" w:rsidRPr="005B5FCC" w:rsidRDefault="00002F6C" w:rsidP="005B5FCC">
      <w:pPr>
        <w:rPr>
          <w:b/>
          <w:bCs/>
          <w:szCs w:val="24"/>
        </w:rPr>
      </w:pPr>
    </w:p>
    <w:p w14:paraId="3A6A7EB7" w14:textId="32B83CFF" w:rsidR="000450F5" w:rsidRPr="000450F5" w:rsidRDefault="000450F5" w:rsidP="000450F5">
      <w:pPr>
        <w:pStyle w:val="Heading1"/>
        <w:numPr>
          <w:ilvl w:val="1"/>
          <w:numId w:val="30"/>
        </w:numPr>
      </w:pPr>
      <w:r>
        <w:t>Background</w:t>
      </w:r>
    </w:p>
    <w:p w14:paraId="6545E5F9" w14:textId="4C987A2B" w:rsidR="00955157" w:rsidRPr="00955157" w:rsidRDefault="00955157" w:rsidP="007564CD">
      <w:pPr>
        <w:rPr>
          <w:b/>
          <w:bCs/>
          <w:szCs w:val="24"/>
        </w:rPr>
      </w:pPr>
      <w:r w:rsidRPr="00955157">
        <w:rPr>
          <w:szCs w:val="24"/>
        </w:rPr>
        <w:t>In December 2011, the Global Bioenergy Partnership (GBEP) agreed upon a set of 24 indicators for the assessment and monitoring of bioenergy sustainability. Each of the 24 indicators</w:t>
      </w:r>
      <w:r w:rsidRPr="00955157">
        <w:rPr>
          <w:b/>
          <w:bCs/>
          <w:szCs w:val="24"/>
        </w:rPr>
        <w:t xml:space="preserve"> </w:t>
      </w:r>
      <w:r w:rsidRPr="00955157">
        <w:rPr>
          <w:szCs w:val="24"/>
        </w:rPr>
        <w:t xml:space="preserve">includes a short description and a multi-page methodology sheet that outlines the approach for collecting and analysing data, highlights data limitations and provides additional references to other well-documented processes. </w:t>
      </w:r>
    </w:p>
    <w:p w14:paraId="60DA6140" w14:textId="085D33E9" w:rsidR="00240443" w:rsidRDefault="0006552E" w:rsidP="007564CD">
      <w:pPr>
        <w:rPr>
          <w:szCs w:val="24"/>
        </w:rPr>
      </w:pPr>
      <w:r w:rsidRPr="0006552E">
        <w:rPr>
          <w:szCs w:val="24"/>
        </w:rPr>
        <w:t>Since their adoption, the GBEP indicators have been implemented in fourteen countries, spanning four continents. On the basis of the lessons learned from the implementation of the indicators, an Implementation Guide was published in 2020. This document provides methodological guidance for each of the 24 indicators, address</w:t>
      </w:r>
      <w:r w:rsidR="001D4427">
        <w:rPr>
          <w:szCs w:val="24"/>
        </w:rPr>
        <w:t>ing</w:t>
      </w:r>
      <w:r w:rsidRPr="0006552E">
        <w:rPr>
          <w:szCs w:val="24"/>
        </w:rPr>
        <w:t xml:space="preserve"> a number of related practical issues as well.</w:t>
      </w:r>
    </w:p>
    <w:p w14:paraId="1105D214" w14:textId="7E9FBCE7" w:rsidR="004D3574" w:rsidRDefault="00240443" w:rsidP="000450F5">
      <w:pPr>
        <w:rPr>
          <w:szCs w:val="24"/>
        </w:rPr>
      </w:pPr>
      <w:r w:rsidRPr="00240443">
        <w:rPr>
          <w:szCs w:val="24"/>
        </w:rPr>
        <w:t xml:space="preserve">The measurement of GBEP sustainability indicators for bioenergy </w:t>
      </w:r>
      <w:r w:rsidR="004D3574">
        <w:rPr>
          <w:szCs w:val="24"/>
        </w:rPr>
        <w:t xml:space="preserve">may </w:t>
      </w:r>
      <w:r w:rsidRPr="00240443">
        <w:rPr>
          <w:szCs w:val="24"/>
        </w:rPr>
        <w:t xml:space="preserve">require significant resources (both human and financial) and </w:t>
      </w:r>
      <w:r w:rsidR="004D3574">
        <w:rPr>
          <w:szCs w:val="24"/>
        </w:rPr>
        <w:t xml:space="preserve">tends to be </w:t>
      </w:r>
      <w:r w:rsidRPr="00240443">
        <w:rPr>
          <w:szCs w:val="24"/>
        </w:rPr>
        <w:t xml:space="preserve">data- and capacity-intensive. </w:t>
      </w:r>
      <w:r w:rsidRPr="005D679D">
        <w:rPr>
          <w:szCs w:val="24"/>
        </w:rPr>
        <w:t xml:space="preserve">The </w:t>
      </w:r>
      <w:r>
        <w:rPr>
          <w:szCs w:val="24"/>
        </w:rPr>
        <w:t>publication</w:t>
      </w:r>
      <w:r w:rsidRPr="005D679D">
        <w:rPr>
          <w:szCs w:val="24"/>
        </w:rPr>
        <w:t xml:space="preserve"> of the </w:t>
      </w:r>
      <w:r w:rsidRPr="00240443">
        <w:rPr>
          <w:szCs w:val="24"/>
        </w:rPr>
        <w:t>Implementation Guide represents an important step in aiding countries with the implementation of the</w:t>
      </w:r>
      <w:r>
        <w:rPr>
          <w:szCs w:val="24"/>
        </w:rPr>
        <w:t xml:space="preserve">se indicators. However, </w:t>
      </w:r>
      <w:r w:rsidRPr="005D679D">
        <w:rPr>
          <w:szCs w:val="24"/>
        </w:rPr>
        <w:t>to advance the</w:t>
      </w:r>
      <w:r>
        <w:rPr>
          <w:szCs w:val="24"/>
        </w:rPr>
        <w:t>ir</w:t>
      </w:r>
      <w:r w:rsidRPr="005D679D">
        <w:rPr>
          <w:szCs w:val="24"/>
        </w:rPr>
        <w:t xml:space="preserve"> uptake, it is important to </w:t>
      </w:r>
      <w:r w:rsidRPr="00240443">
        <w:rPr>
          <w:szCs w:val="24"/>
        </w:rPr>
        <w:t>further facilitate a less resource-intensive measurement of the</w:t>
      </w:r>
      <w:r w:rsidR="001D4427">
        <w:rPr>
          <w:szCs w:val="24"/>
        </w:rPr>
        <w:t xml:space="preserve"> GBEP</w:t>
      </w:r>
      <w:r w:rsidRPr="00240443">
        <w:rPr>
          <w:szCs w:val="24"/>
        </w:rPr>
        <w:t xml:space="preserve"> indicators, especially in case of limited data and capacity.</w:t>
      </w:r>
    </w:p>
    <w:p w14:paraId="4B9F81D5" w14:textId="77777777" w:rsidR="00E06910" w:rsidRDefault="00E06910">
      <w:pPr>
        <w:rPr>
          <w:rFonts w:asciiTheme="majorHAnsi" w:eastAsiaTheme="majorEastAsia" w:hAnsiTheme="majorHAnsi" w:cstheme="majorBidi"/>
          <w:sz w:val="32"/>
          <w:szCs w:val="32"/>
        </w:rPr>
      </w:pPr>
      <w:r>
        <w:br w:type="page"/>
      </w:r>
    </w:p>
    <w:p w14:paraId="1C49722C" w14:textId="3D7EFC3D" w:rsidR="004D3574" w:rsidRPr="000450F5" w:rsidRDefault="004D3574" w:rsidP="000450F5">
      <w:pPr>
        <w:pStyle w:val="Heading1"/>
        <w:numPr>
          <w:ilvl w:val="1"/>
          <w:numId w:val="30"/>
        </w:numPr>
      </w:pPr>
      <w:r w:rsidRPr="000450F5">
        <w:lastRenderedPageBreak/>
        <w:t>Scope and objectives.</w:t>
      </w:r>
    </w:p>
    <w:p w14:paraId="2F784AA2" w14:textId="312C121C" w:rsidR="00801DB6" w:rsidRDefault="001D4427" w:rsidP="007564CD">
      <w:pPr>
        <w:rPr>
          <w:szCs w:val="24"/>
        </w:rPr>
      </w:pPr>
      <w:r w:rsidRPr="59EA5C12">
        <w:rPr>
          <w:szCs w:val="24"/>
        </w:rPr>
        <w:t xml:space="preserve">This Rapid Implementation Framework (RIF) aims to complement the Implementation Guide, by supporting and expediting the operationalization of selected working packages included in it. In particular, the RIF </w:t>
      </w:r>
      <w:r w:rsidR="00E81CCB" w:rsidRPr="59EA5C12">
        <w:rPr>
          <w:szCs w:val="24"/>
        </w:rPr>
        <w:t xml:space="preserve">allows users to </w:t>
      </w:r>
      <w:r w:rsidR="004D3574" w:rsidRPr="59EA5C12">
        <w:rPr>
          <w:szCs w:val="24"/>
        </w:rPr>
        <w:t xml:space="preserve">conduct an evidence-based prioritization of the </w:t>
      </w:r>
      <w:r w:rsidR="00E81CCB" w:rsidRPr="59EA5C12">
        <w:rPr>
          <w:szCs w:val="24"/>
        </w:rPr>
        <w:t>GBEP indicators</w:t>
      </w:r>
      <w:r w:rsidR="00801DB6" w:rsidRPr="59EA5C12">
        <w:rPr>
          <w:szCs w:val="24"/>
        </w:rPr>
        <w:t xml:space="preserve">. This means that </w:t>
      </w:r>
      <w:r w:rsidR="7FE79547" w:rsidRPr="59EA5C12">
        <w:rPr>
          <w:szCs w:val="24"/>
        </w:rPr>
        <w:t>within</w:t>
      </w:r>
      <w:r w:rsidR="00801DB6" w:rsidRPr="59EA5C12">
        <w:rPr>
          <w:szCs w:val="24"/>
        </w:rPr>
        <w:t xml:space="preserve"> six months, it should be possible to carry out a rapid measurement of the critical GBEP indicators and obtain a preliminary indication of likely impacts on sustainability from the most relevant bioenergy pathways in the country/region considered.</w:t>
      </w:r>
    </w:p>
    <w:p w14:paraId="1ADA5E96" w14:textId="7B30D63B" w:rsidR="00DD5EE8" w:rsidRPr="000450F5" w:rsidRDefault="00DD5EE8" w:rsidP="000450F5">
      <w:pPr>
        <w:pStyle w:val="Heading1"/>
        <w:numPr>
          <w:ilvl w:val="1"/>
          <w:numId w:val="30"/>
        </w:numPr>
      </w:pPr>
      <w:r w:rsidRPr="000450F5">
        <w:t>Target users</w:t>
      </w:r>
      <w:r w:rsidR="7742AD15" w:rsidRPr="000450F5">
        <w:t xml:space="preserve">, </w:t>
      </w:r>
      <w:r w:rsidRPr="000450F5">
        <w:t>resource requirements</w:t>
      </w:r>
      <w:r w:rsidR="04896939" w:rsidRPr="000450F5">
        <w:t xml:space="preserve"> and stakeholder engagement</w:t>
      </w:r>
      <w:r w:rsidRPr="000450F5">
        <w:t>.</w:t>
      </w:r>
    </w:p>
    <w:p w14:paraId="466B6401" w14:textId="745431E9" w:rsidR="00DD5EE8" w:rsidRDefault="00DD5EE8" w:rsidP="00DD5EE8">
      <w:pPr>
        <w:rPr>
          <w:szCs w:val="24"/>
        </w:rPr>
      </w:pPr>
      <w:r w:rsidRPr="59EA5C12">
        <w:rPr>
          <w:szCs w:val="24"/>
        </w:rPr>
        <w:t>The RIF is intended mainly for practitioners interested in conducting a rapid assessment of the sustainability of the bioenergy sector and/or specific bioenergy pathways in their country or region, using the GBEP indicators. The results of this six-month process provide a preliminary indication of likely impacts on sustainability, and information on where more in-depth assessment is required due to large, critical and/or unmeasurable impacts. For a more thorough assessment of these impacts, the full methodologies described in the indicator report should be used.</w:t>
      </w:r>
    </w:p>
    <w:p w14:paraId="5D0BA2DE" w14:textId="1A97DA61" w:rsidR="000F0EBE" w:rsidRDefault="000F0EBE" w:rsidP="00DD5EE8">
      <w:pPr>
        <w:rPr>
          <w:szCs w:val="24"/>
        </w:rPr>
      </w:pPr>
      <w:r>
        <w:rPr>
          <w:szCs w:val="24"/>
        </w:rPr>
        <w:t>The RIF can be used flexibly depending on country context. The intention is that the</w:t>
      </w:r>
      <w:r w:rsidRPr="000F0EBE">
        <w:rPr>
          <w:szCs w:val="24"/>
        </w:rPr>
        <w:t xml:space="preserve"> RIF is conducted as a (series of) multi-stakeholder </w:t>
      </w:r>
      <w:r>
        <w:rPr>
          <w:szCs w:val="24"/>
        </w:rPr>
        <w:t>meetings. However, t</w:t>
      </w:r>
      <w:r w:rsidRPr="000F0EBE">
        <w:rPr>
          <w:szCs w:val="24"/>
        </w:rPr>
        <w:t>he questionnaires provided in this handbook can be responded to in a group format or individually, with the results being later compiled.</w:t>
      </w:r>
    </w:p>
    <w:p w14:paraId="20E84718" w14:textId="7F31AA00" w:rsidR="00DD5EE8" w:rsidRDefault="00DD5EE8" w:rsidP="00DD5EE8">
      <w:pPr>
        <w:rPr>
          <w:szCs w:val="24"/>
        </w:rPr>
      </w:pPr>
      <w:r w:rsidRPr="59EA5C12">
        <w:rPr>
          <w:szCs w:val="24"/>
        </w:rPr>
        <w:t xml:space="preserve">As explained in the Implementation Guide, among the overarching practices for an effective implementation of the GBEP indicators, users should seek to encourage the proactive </w:t>
      </w:r>
      <w:r w:rsidRPr="59EA5C12">
        <w:rPr>
          <w:b/>
          <w:bCs/>
          <w:szCs w:val="24"/>
        </w:rPr>
        <w:t>engagement of all relevant stakeholders</w:t>
      </w:r>
      <w:r w:rsidRPr="59EA5C12">
        <w:rPr>
          <w:szCs w:val="24"/>
        </w:rPr>
        <w:t xml:space="preserve"> including government agencies, private sector organizations</w:t>
      </w:r>
      <w:r w:rsidR="00082D6E">
        <w:rPr>
          <w:szCs w:val="24"/>
        </w:rPr>
        <w:t>, academic/research institutions</w:t>
      </w:r>
      <w:r w:rsidRPr="59EA5C12">
        <w:rPr>
          <w:szCs w:val="24"/>
        </w:rPr>
        <w:t xml:space="preserve"> and civil society organizations. This is particularly important in the context of a rapid implementation of the GBEP indicators. The questions included under the various steps that comprise the RIF should be addressed to selected producer associations (including biomass suppliers) and to a multidisciplinary group of experts with an in-depth knowledge of: </w:t>
      </w:r>
    </w:p>
    <w:p w14:paraId="09FC1733" w14:textId="773F3B89" w:rsidR="00DD5EE8" w:rsidRDefault="000F0EBE" w:rsidP="00DD5EE8">
      <w:pPr>
        <w:pStyle w:val="ListParagraph"/>
        <w:numPr>
          <w:ilvl w:val="0"/>
          <w:numId w:val="13"/>
        </w:numPr>
        <w:ind w:left="360"/>
        <w:rPr>
          <w:szCs w:val="24"/>
        </w:rPr>
      </w:pPr>
      <w:r>
        <w:rPr>
          <w:szCs w:val="24"/>
        </w:rPr>
        <w:t>T</w:t>
      </w:r>
      <w:r w:rsidR="00DD5EE8" w:rsidRPr="59EA5C12">
        <w:rPr>
          <w:szCs w:val="24"/>
        </w:rPr>
        <w:t>he national/local context, particularly in terms of environmental and socio-economic characteristics/conditions and related vulnerabilities;</w:t>
      </w:r>
    </w:p>
    <w:p w14:paraId="2712AAD6" w14:textId="7475839D" w:rsidR="00DD5EE8" w:rsidRDefault="000F0EBE" w:rsidP="00DD5EE8">
      <w:pPr>
        <w:pStyle w:val="ListParagraph"/>
        <w:numPr>
          <w:ilvl w:val="0"/>
          <w:numId w:val="13"/>
        </w:numPr>
        <w:ind w:left="360"/>
        <w:rPr>
          <w:szCs w:val="24"/>
        </w:rPr>
      </w:pPr>
      <w:r>
        <w:rPr>
          <w:szCs w:val="24"/>
        </w:rPr>
        <w:t>T</w:t>
      </w:r>
      <w:r w:rsidR="00DD5EE8" w:rsidRPr="59EA5C12">
        <w:rPr>
          <w:szCs w:val="24"/>
        </w:rPr>
        <w:t>he domestic agricultural and forestry sectors and related markets;</w:t>
      </w:r>
      <w:r w:rsidR="00577D28">
        <w:rPr>
          <w:szCs w:val="24"/>
        </w:rPr>
        <w:t xml:space="preserve"> and</w:t>
      </w:r>
    </w:p>
    <w:p w14:paraId="1230AD22" w14:textId="0B2A780F" w:rsidR="00DD5EE8" w:rsidRPr="004D3574" w:rsidRDefault="000F0EBE" w:rsidP="00DD5EE8">
      <w:pPr>
        <w:pStyle w:val="ListParagraph"/>
        <w:numPr>
          <w:ilvl w:val="0"/>
          <w:numId w:val="13"/>
        </w:numPr>
        <w:ind w:left="360"/>
        <w:rPr>
          <w:szCs w:val="24"/>
        </w:rPr>
      </w:pPr>
      <w:r>
        <w:rPr>
          <w:szCs w:val="24"/>
        </w:rPr>
        <w:t>T</w:t>
      </w:r>
      <w:r w:rsidR="00DD5EE8" w:rsidRPr="59EA5C12">
        <w:rPr>
          <w:szCs w:val="24"/>
        </w:rPr>
        <w:t>he domestic bioenergy sector and related technologies, logistics and policies.</w:t>
      </w:r>
    </w:p>
    <w:p w14:paraId="706EBF93" w14:textId="5FCCDE66" w:rsidR="00DD5EE8" w:rsidRDefault="00DD5EE8" w:rsidP="00DD5EE8">
      <w:pPr>
        <w:rPr>
          <w:szCs w:val="24"/>
        </w:rPr>
      </w:pPr>
      <w:r w:rsidRPr="59EA5C12">
        <w:rPr>
          <w:szCs w:val="24"/>
          <w:lang w:val="en-GB"/>
        </w:rPr>
        <w:t>Ideally, feedback should be sought as well from a sample of end-users, including both households and businesses, especially in relation to off-grid power applications and small-scale cooking and heating systems</w:t>
      </w:r>
      <w:r w:rsidRPr="59EA5C12">
        <w:rPr>
          <w:szCs w:val="24"/>
        </w:rPr>
        <w:t xml:space="preserve">. In order to answer the questions, information and data available in national and international databases may be used, combined with expert judgement. In some cases, </w:t>
      </w:r>
      <w:r w:rsidR="00FB5597">
        <w:rPr>
          <w:szCs w:val="24"/>
        </w:rPr>
        <w:t>ballpark estimates based on experience</w:t>
      </w:r>
      <w:r w:rsidRPr="59EA5C12">
        <w:rPr>
          <w:szCs w:val="24"/>
        </w:rPr>
        <w:t xml:space="preserve"> will be necessary. </w:t>
      </w:r>
      <w:r w:rsidR="00082D6E">
        <w:rPr>
          <w:szCs w:val="24"/>
        </w:rPr>
        <w:t>Sources of information should be clearly stated.</w:t>
      </w:r>
    </w:p>
    <w:p w14:paraId="63B85C84" w14:textId="77777777" w:rsidR="00DD5EE8" w:rsidRDefault="00DD5EE8" w:rsidP="00DD5EE8">
      <w:r w:rsidRPr="59EA5C12">
        <w:rPr>
          <w:szCs w:val="24"/>
        </w:rPr>
        <w:lastRenderedPageBreak/>
        <w:t>The table below – an excerpt from the Implementation Guide – includes the list of public, private and multilateral stakeholders to be engaged.</w:t>
      </w:r>
    </w:p>
    <w:p w14:paraId="32C2265F" w14:textId="0AFD2D60" w:rsidR="00DD5EE8" w:rsidRDefault="00DD5EE8" w:rsidP="00DD5EE8">
      <w:pPr>
        <w:jc w:val="center"/>
      </w:pPr>
      <w:r>
        <w:rPr>
          <w:noProof/>
        </w:rPr>
        <w:drawing>
          <wp:inline distT="0" distB="0" distL="0" distR="0" wp14:anchorId="7F2253A4" wp14:editId="3AA8DB31">
            <wp:extent cx="5057746" cy="1691640"/>
            <wp:effectExtent l="0" t="0" r="0" b="3810"/>
            <wp:docPr id="2"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5">
                      <a:extLst>
                        <a:ext uri="{28A0092B-C50C-407E-A947-70E740481C1C}">
                          <a14:useLocalDpi xmlns:a14="http://schemas.microsoft.com/office/drawing/2010/main" val="0"/>
                        </a:ext>
                      </a:extLst>
                    </a:blip>
                    <a:stretch>
                      <a:fillRect/>
                    </a:stretch>
                  </pic:blipFill>
                  <pic:spPr>
                    <a:xfrm>
                      <a:off x="0" y="0"/>
                      <a:ext cx="5121950" cy="1713114"/>
                    </a:xfrm>
                    <a:prstGeom prst="rect">
                      <a:avLst/>
                    </a:prstGeom>
                  </pic:spPr>
                </pic:pic>
              </a:graphicData>
            </a:graphic>
          </wp:inline>
        </w:drawing>
      </w:r>
    </w:p>
    <w:p w14:paraId="38317372" w14:textId="77777777" w:rsidR="00577D28" w:rsidRDefault="00577D28" w:rsidP="59EA5C12"/>
    <w:p w14:paraId="6AFC71D1" w14:textId="2171703E" w:rsidR="00801DB6" w:rsidRPr="000450F5" w:rsidRDefault="4333A410" w:rsidP="000450F5">
      <w:pPr>
        <w:pStyle w:val="Heading1"/>
        <w:numPr>
          <w:ilvl w:val="1"/>
          <w:numId w:val="30"/>
        </w:numPr>
      </w:pPr>
      <w:r w:rsidRPr="000450F5">
        <w:t xml:space="preserve">Rapid Implementation </w:t>
      </w:r>
      <w:r w:rsidR="121563A8" w:rsidRPr="000450F5">
        <w:t>steps</w:t>
      </w:r>
      <w:r w:rsidR="00801DB6" w:rsidRPr="000450F5">
        <w:t>.</w:t>
      </w:r>
    </w:p>
    <w:p w14:paraId="68E681B6" w14:textId="5ED9194F" w:rsidR="00BB76E8" w:rsidRDefault="00DD5EE8" w:rsidP="007564CD">
      <w:pPr>
        <w:rPr>
          <w:szCs w:val="24"/>
        </w:rPr>
      </w:pPr>
      <w:r w:rsidRPr="59EA5C12">
        <w:rPr>
          <w:szCs w:val="24"/>
        </w:rPr>
        <w:t xml:space="preserve">The Rapid Implementation Framework </w:t>
      </w:r>
      <w:r w:rsidR="004D3574" w:rsidRPr="59EA5C12">
        <w:rPr>
          <w:szCs w:val="24"/>
        </w:rPr>
        <w:t>provid</w:t>
      </w:r>
      <w:r w:rsidRPr="59EA5C12">
        <w:rPr>
          <w:szCs w:val="24"/>
        </w:rPr>
        <w:t>es</w:t>
      </w:r>
      <w:r w:rsidR="004D3574" w:rsidRPr="59EA5C12">
        <w:rPr>
          <w:szCs w:val="24"/>
        </w:rPr>
        <w:t xml:space="preserve"> relevant guidance and materials to be followed for the rapid implementation of the indicators:</w:t>
      </w:r>
    </w:p>
    <w:p w14:paraId="72C966A1" w14:textId="514A98EC" w:rsidR="004D3574" w:rsidRDefault="004D3574" w:rsidP="007564CD">
      <w:pPr>
        <w:pStyle w:val="ListParagraph"/>
        <w:numPr>
          <w:ilvl w:val="0"/>
          <w:numId w:val="12"/>
        </w:numPr>
        <w:ind w:left="360"/>
        <w:rPr>
          <w:b/>
          <w:bCs/>
          <w:szCs w:val="24"/>
        </w:rPr>
      </w:pPr>
      <w:r w:rsidRPr="004D3574">
        <w:rPr>
          <w:b/>
          <w:bCs/>
          <w:szCs w:val="24"/>
        </w:rPr>
        <w:t>Description of Institutional Context and Regulatory Framework</w:t>
      </w:r>
      <w:r>
        <w:rPr>
          <w:b/>
          <w:bCs/>
          <w:szCs w:val="24"/>
        </w:rPr>
        <w:t xml:space="preserve"> </w:t>
      </w:r>
      <w:r w:rsidRPr="004D3574">
        <w:rPr>
          <w:szCs w:val="24"/>
        </w:rPr>
        <w:t>[Chapter 2].</w:t>
      </w:r>
    </w:p>
    <w:p w14:paraId="46F93FCA" w14:textId="3E991DDE" w:rsidR="004D3574" w:rsidRDefault="004D3574" w:rsidP="007564CD">
      <w:pPr>
        <w:pStyle w:val="ListParagraph"/>
        <w:numPr>
          <w:ilvl w:val="0"/>
          <w:numId w:val="12"/>
        </w:numPr>
        <w:ind w:left="360"/>
        <w:rPr>
          <w:b/>
          <w:bCs/>
          <w:szCs w:val="24"/>
        </w:rPr>
      </w:pPr>
      <w:r w:rsidRPr="004D3574">
        <w:rPr>
          <w:b/>
          <w:bCs/>
          <w:szCs w:val="24"/>
        </w:rPr>
        <w:t>Selection of Most Relevant Bioenergy Pathways</w:t>
      </w:r>
      <w:r>
        <w:rPr>
          <w:b/>
          <w:bCs/>
          <w:szCs w:val="24"/>
        </w:rPr>
        <w:t xml:space="preserve"> </w:t>
      </w:r>
      <w:r w:rsidRPr="004D3574">
        <w:rPr>
          <w:szCs w:val="24"/>
        </w:rPr>
        <w:t xml:space="preserve">[Chapter </w:t>
      </w:r>
      <w:r>
        <w:rPr>
          <w:szCs w:val="24"/>
        </w:rPr>
        <w:t>3]</w:t>
      </w:r>
      <w:r w:rsidRPr="004D3574">
        <w:rPr>
          <w:szCs w:val="24"/>
        </w:rPr>
        <w:t>.</w:t>
      </w:r>
    </w:p>
    <w:p w14:paraId="0F63355F" w14:textId="39A68A5C" w:rsidR="004D3574" w:rsidRDefault="004D3574" w:rsidP="007564CD">
      <w:pPr>
        <w:pStyle w:val="ListParagraph"/>
        <w:numPr>
          <w:ilvl w:val="0"/>
          <w:numId w:val="12"/>
        </w:numPr>
        <w:ind w:left="360"/>
        <w:rPr>
          <w:b/>
          <w:bCs/>
          <w:szCs w:val="24"/>
        </w:rPr>
      </w:pPr>
      <w:r w:rsidRPr="004D3574">
        <w:rPr>
          <w:b/>
          <w:bCs/>
          <w:szCs w:val="24"/>
        </w:rPr>
        <w:t>Exclusion of Non-Applicable GBEP Indicators</w:t>
      </w:r>
      <w:r>
        <w:rPr>
          <w:b/>
          <w:bCs/>
          <w:szCs w:val="24"/>
        </w:rPr>
        <w:t xml:space="preserve"> </w:t>
      </w:r>
      <w:r w:rsidRPr="004D3574">
        <w:rPr>
          <w:szCs w:val="24"/>
        </w:rPr>
        <w:t xml:space="preserve">[Chapter </w:t>
      </w:r>
      <w:r>
        <w:rPr>
          <w:szCs w:val="24"/>
        </w:rPr>
        <w:t>4</w:t>
      </w:r>
      <w:r w:rsidRPr="004D3574">
        <w:rPr>
          <w:szCs w:val="24"/>
        </w:rPr>
        <w:t>].</w:t>
      </w:r>
    </w:p>
    <w:p w14:paraId="0427685F" w14:textId="2706B956" w:rsidR="004D3574" w:rsidRDefault="004D3574" w:rsidP="007564CD">
      <w:pPr>
        <w:pStyle w:val="ListParagraph"/>
        <w:numPr>
          <w:ilvl w:val="0"/>
          <w:numId w:val="12"/>
        </w:numPr>
        <w:ind w:left="360"/>
        <w:rPr>
          <w:b/>
          <w:bCs/>
          <w:szCs w:val="24"/>
        </w:rPr>
      </w:pPr>
      <w:r w:rsidRPr="59EA5C12">
        <w:rPr>
          <w:b/>
          <w:bCs/>
          <w:szCs w:val="24"/>
        </w:rPr>
        <w:t xml:space="preserve">Value Chain Description and Identification of Critical GBEP Indicators </w:t>
      </w:r>
      <w:r w:rsidRPr="59EA5C12">
        <w:rPr>
          <w:szCs w:val="24"/>
        </w:rPr>
        <w:t>[Chapter 5].</w:t>
      </w:r>
    </w:p>
    <w:p w14:paraId="6A6A60DE" w14:textId="1BEFE769" w:rsidR="4C95B0D5" w:rsidRDefault="4C95B0D5" w:rsidP="6534FC3F">
      <w:pPr>
        <w:pStyle w:val="ListParagraph"/>
        <w:numPr>
          <w:ilvl w:val="0"/>
          <w:numId w:val="12"/>
        </w:numPr>
        <w:ind w:left="360"/>
        <w:rPr>
          <w:b/>
          <w:bCs/>
          <w:szCs w:val="24"/>
        </w:rPr>
      </w:pPr>
      <w:r w:rsidRPr="59EA5C12">
        <w:rPr>
          <w:b/>
          <w:bCs/>
          <w:szCs w:val="24"/>
        </w:rPr>
        <w:t>Visualization of Results of Prioritization of GBEP indicators</w:t>
      </w:r>
      <w:r w:rsidRPr="59EA5C12">
        <w:rPr>
          <w:szCs w:val="24"/>
        </w:rPr>
        <w:t xml:space="preserve"> [Chapter 6].</w:t>
      </w:r>
    </w:p>
    <w:p w14:paraId="3DB01419" w14:textId="246C36E2" w:rsidR="004D3574" w:rsidRPr="002E35C4" w:rsidRDefault="00D94531" w:rsidP="00D94531">
      <w:pPr>
        <w:pStyle w:val="ListParagraph"/>
        <w:numPr>
          <w:ilvl w:val="0"/>
          <w:numId w:val="12"/>
        </w:numPr>
        <w:ind w:left="360"/>
        <w:rPr>
          <w:b/>
          <w:bCs/>
          <w:szCs w:val="24"/>
        </w:rPr>
      </w:pPr>
      <w:r w:rsidRPr="00D94531">
        <w:rPr>
          <w:b/>
          <w:bCs/>
          <w:szCs w:val="24"/>
        </w:rPr>
        <w:t xml:space="preserve">Monitoring of safeguards and good practices relevant for critical </w:t>
      </w:r>
      <w:r>
        <w:rPr>
          <w:b/>
          <w:bCs/>
          <w:szCs w:val="24"/>
        </w:rPr>
        <w:t>GBEP</w:t>
      </w:r>
      <w:r w:rsidRPr="00D94531">
        <w:rPr>
          <w:b/>
          <w:bCs/>
          <w:szCs w:val="24"/>
        </w:rPr>
        <w:t xml:space="preserve"> indicators </w:t>
      </w:r>
      <w:r w:rsidR="004D3574" w:rsidRPr="59EA5C12">
        <w:rPr>
          <w:szCs w:val="24"/>
        </w:rPr>
        <w:t xml:space="preserve">[Chapter </w:t>
      </w:r>
      <w:r w:rsidR="462F1A71" w:rsidRPr="59EA5C12">
        <w:rPr>
          <w:szCs w:val="24"/>
        </w:rPr>
        <w:t>7</w:t>
      </w:r>
      <w:r w:rsidR="004D3574" w:rsidRPr="59EA5C12">
        <w:rPr>
          <w:szCs w:val="24"/>
        </w:rPr>
        <w:t>].</w:t>
      </w:r>
    </w:p>
    <w:p w14:paraId="2BFD8F05" w14:textId="0AB3E349" w:rsidR="002E35C4" w:rsidRPr="00E06910" w:rsidRDefault="002E35C4" w:rsidP="00E06910">
      <w:pPr>
        <w:rPr>
          <w:b/>
          <w:bCs/>
          <w:szCs w:val="24"/>
        </w:rPr>
      </w:pPr>
      <w:r w:rsidRPr="00E06910">
        <w:rPr>
          <w:szCs w:val="24"/>
        </w:rPr>
        <w:t>The flowchart below shows gives a visual overview of the steps involved in the rapid implementation.</w:t>
      </w:r>
    </w:p>
    <w:p w14:paraId="0AD4E805" w14:textId="58BC509A" w:rsidR="002F56A3" w:rsidRDefault="00810E79" w:rsidP="002F56A3">
      <w:pPr>
        <w:jc w:val="center"/>
        <w:rPr>
          <w:color w:val="FF0000"/>
        </w:rPr>
      </w:pPr>
      <w:r>
        <w:rPr>
          <w:noProof/>
          <w:color w:val="FF0000"/>
        </w:rPr>
        <w:lastRenderedPageBreak/>
        <w:drawing>
          <wp:inline distT="0" distB="0" distL="0" distR="0" wp14:anchorId="4B6CF671" wp14:editId="1A9059B9">
            <wp:extent cx="5943600" cy="4457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lowchartdiagram (1).jpg"/>
                    <pic:cNvPicPr/>
                  </pic:nvPicPr>
                  <pic:blipFill>
                    <a:blip r:embed="rId16">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14:paraId="38715F56" w14:textId="1C552E10" w:rsidR="00BB76E8" w:rsidRDefault="00C41EE9" w:rsidP="007564CD">
      <w:pPr>
        <w:rPr>
          <w:szCs w:val="24"/>
        </w:rPr>
      </w:pPr>
      <w:r w:rsidRPr="000450F5">
        <w:rPr>
          <w:b/>
          <w:bCs/>
          <w:color w:val="EB861D"/>
          <w:szCs w:val="24"/>
        </w:rPr>
        <w:t>Chapter 2</w:t>
      </w:r>
      <w:r w:rsidR="004D3574" w:rsidRPr="000450F5">
        <w:rPr>
          <w:color w:val="EB861D"/>
          <w:szCs w:val="24"/>
        </w:rPr>
        <w:t xml:space="preserve"> </w:t>
      </w:r>
      <w:r w:rsidR="004D3574" w:rsidRPr="59EA5C12">
        <w:rPr>
          <w:szCs w:val="24"/>
        </w:rPr>
        <w:t>(Description of Institutional Context and Regulatory Framework) comprises a questionnaire addressing the following issues:</w:t>
      </w:r>
    </w:p>
    <w:p w14:paraId="540B5175" w14:textId="77777777" w:rsidR="004D3574" w:rsidRDefault="004D3574" w:rsidP="007564CD">
      <w:pPr>
        <w:pStyle w:val="ListParagraph"/>
        <w:numPr>
          <w:ilvl w:val="0"/>
          <w:numId w:val="8"/>
        </w:numPr>
        <w:ind w:left="360"/>
        <w:rPr>
          <w:szCs w:val="24"/>
        </w:rPr>
      </w:pPr>
      <w:r>
        <w:rPr>
          <w:szCs w:val="24"/>
        </w:rPr>
        <w:t>Policy-making process;</w:t>
      </w:r>
    </w:p>
    <w:p w14:paraId="5140CB12" w14:textId="77777777" w:rsidR="004D3574" w:rsidRDefault="004D3574" w:rsidP="007564CD">
      <w:pPr>
        <w:pStyle w:val="ListParagraph"/>
        <w:numPr>
          <w:ilvl w:val="0"/>
          <w:numId w:val="8"/>
        </w:numPr>
        <w:ind w:left="360"/>
        <w:rPr>
          <w:szCs w:val="24"/>
        </w:rPr>
      </w:pPr>
      <w:r>
        <w:rPr>
          <w:szCs w:val="24"/>
        </w:rPr>
        <w:t>Bioenergy targets/mandates and incentives; and</w:t>
      </w:r>
    </w:p>
    <w:p w14:paraId="3DBB5C03" w14:textId="77777777" w:rsidR="004D3574" w:rsidRPr="00E42DC1" w:rsidRDefault="004D3574" w:rsidP="007564CD">
      <w:pPr>
        <w:pStyle w:val="ListParagraph"/>
        <w:numPr>
          <w:ilvl w:val="0"/>
          <w:numId w:val="8"/>
        </w:numPr>
        <w:ind w:left="360"/>
        <w:rPr>
          <w:szCs w:val="24"/>
        </w:rPr>
      </w:pPr>
      <w:r>
        <w:rPr>
          <w:szCs w:val="24"/>
        </w:rPr>
        <w:t>Drivers/objectives and sustainability requirements of bioenergy policies.</w:t>
      </w:r>
    </w:p>
    <w:p w14:paraId="0F507672" w14:textId="681EA23E" w:rsidR="004D3574" w:rsidRDefault="004D3574" w:rsidP="007564CD">
      <w:pPr>
        <w:rPr>
          <w:szCs w:val="24"/>
        </w:rPr>
      </w:pPr>
      <w:r w:rsidRPr="59EA5C12">
        <w:rPr>
          <w:szCs w:val="24"/>
        </w:rPr>
        <w:t>Based on the latter, a preliminary list of critical GBEP indicators is generated</w:t>
      </w:r>
      <w:r w:rsidR="00C41EE9" w:rsidRPr="59EA5C12">
        <w:rPr>
          <w:szCs w:val="24"/>
        </w:rPr>
        <w:t>, which are the minimum that would be required to monitor the identified sustainability priorities of the bioenergy policies</w:t>
      </w:r>
      <w:r w:rsidRPr="59EA5C12">
        <w:rPr>
          <w:szCs w:val="24"/>
        </w:rPr>
        <w:t xml:space="preserve">. As explained below, additional critical GBEP indicators are </w:t>
      </w:r>
      <w:r w:rsidR="00C41EE9" w:rsidRPr="59EA5C12">
        <w:rPr>
          <w:szCs w:val="24"/>
        </w:rPr>
        <w:t xml:space="preserve">further </w:t>
      </w:r>
      <w:r w:rsidRPr="59EA5C12">
        <w:rPr>
          <w:szCs w:val="24"/>
        </w:rPr>
        <w:t xml:space="preserve">identified </w:t>
      </w:r>
      <w:r w:rsidR="00C41EE9" w:rsidRPr="59EA5C12">
        <w:rPr>
          <w:szCs w:val="24"/>
        </w:rPr>
        <w:t>in Chapter 5</w:t>
      </w:r>
      <w:r w:rsidRPr="59EA5C12">
        <w:rPr>
          <w:szCs w:val="24"/>
        </w:rPr>
        <w:t xml:space="preserve"> (Value Chain Description and Identification of Critical GBEP Indicators).</w:t>
      </w:r>
    </w:p>
    <w:p w14:paraId="4B61AEFD" w14:textId="773516F4" w:rsidR="004D3574" w:rsidRDefault="00C41EE9" w:rsidP="007564CD">
      <w:pPr>
        <w:rPr>
          <w:szCs w:val="24"/>
        </w:rPr>
      </w:pPr>
      <w:r w:rsidRPr="59EA5C12">
        <w:rPr>
          <w:szCs w:val="24"/>
        </w:rPr>
        <w:t xml:space="preserve">In </w:t>
      </w:r>
      <w:r w:rsidRPr="000450F5">
        <w:rPr>
          <w:b/>
          <w:bCs/>
          <w:color w:val="EB861D"/>
          <w:szCs w:val="24"/>
        </w:rPr>
        <w:t>Chapter 3</w:t>
      </w:r>
      <w:r w:rsidR="004D3574" w:rsidRPr="59EA5C12">
        <w:rPr>
          <w:szCs w:val="24"/>
        </w:rPr>
        <w:t>, guidance is offered on the selection of the most relevant bioenergy pathways</w:t>
      </w:r>
      <w:r w:rsidRPr="59EA5C12">
        <w:rPr>
          <w:szCs w:val="24"/>
        </w:rPr>
        <w:t xml:space="preserve"> for analysis</w:t>
      </w:r>
      <w:r w:rsidR="004D3574" w:rsidRPr="59EA5C12">
        <w:rPr>
          <w:szCs w:val="24"/>
        </w:rPr>
        <w:t xml:space="preserve">, and a few possible selection criteria are suggested. </w:t>
      </w:r>
    </w:p>
    <w:p w14:paraId="4D96E62F" w14:textId="7C9D44BC" w:rsidR="004D3574" w:rsidRPr="005E5260" w:rsidRDefault="004D3574" w:rsidP="007564CD">
      <w:pPr>
        <w:rPr>
          <w:szCs w:val="24"/>
        </w:rPr>
      </w:pPr>
      <w:r w:rsidRPr="59EA5C12">
        <w:rPr>
          <w:szCs w:val="24"/>
        </w:rPr>
        <w:t xml:space="preserve">Once the most relevant bioenergy pathways have been identified, the </w:t>
      </w:r>
      <w:r w:rsidR="00C41EE9" w:rsidRPr="59EA5C12">
        <w:rPr>
          <w:szCs w:val="24"/>
        </w:rPr>
        <w:t>next stage of the RIF aims to identify the critical indicators to measure and monitor based on the sustainability risks of the particular pathway(s)</w:t>
      </w:r>
      <w:r w:rsidRPr="59EA5C12">
        <w:rPr>
          <w:szCs w:val="24"/>
        </w:rPr>
        <w:t xml:space="preserve">. </w:t>
      </w:r>
      <w:r w:rsidR="00C41EE9" w:rsidRPr="59EA5C12">
        <w:rPr>
          <w:szCs w:val="24"/>
        </w:rPr>
        <w:t xml:space="preserve">As a first step, in </w:t>
      </w:r>
      <w:r w:rsidR="00C41EE9" w:rsidRPr="000450F5">
        <w:rPr>
          <w:b/>
          <w:bCs/>
          <w:color w:val="EB861D"/>
          <w:szCs w:val="24"/>
        </w:rPr>
        <w:t>Chapter 4</w:t>
      </w:r>
      <w:r w:rsidRPr="59EA5C12">
        <w:rPr>
          <w:szCs w:val="24"/>
        </w:rPr>
        <w:t>, a list of non-applicable GBEP indicators and sub-indicators is provided, depending on the selected bioenergy pathway(s).</w:t>
      </w:r>
    </w:p>
    <w:p w14:paraId="0F51BB9B" w14:textId="4F4E4728" w:rsidR="004D3574" w:rsidRDefault="00C41EE9" w:rsidP="007564CD">
      <w:pPr>
        <w:rPr>
          <w:szCs w:val="24"/>
        </w:rPr>
      </w:pPr>
      <w:r w:rsidRPr="000450F5">
        <w:rPr>
          <w:b/>
          <w:bCs/>
          <w:color w:val="EB861D"/>
          <w:szCs w:val="24"/>
        </w:rPr>
        <w:lastRenderedPageBreak/>
        <w:t>Chapter 5</w:t>
      </w:r>
      <w:r w:rsidR="00DD5EE8" w:rsidRPr="000450F5">
        <w:rPr>
          <w:color w:val="EB861D"/>
          <w:szCs w:val="24"/>
        </w:rPr>
        <w:t xml:space="preserve"> </w:t>
      </w:r>
      <w:r w:rsidR="004D3574" w:rsidRPr="59EA5C12">
        <w:rPr>
          <w:szCs w:val="24"/>
        </w:rPr>
        <w:t>includes a questionnaire that aims to help users:</w:t>
      </w:r>
    </w:p>
    <w:p w14:paraId="2293C265" w14:textId="33AD247D" w:rsidR="004D3574" w:rsidRDefault="004D3574" w:rsidP="007564CD">
      <w:pPr>
        <w:pStyle w:val="ListParagraph"/>
        <w:numPr>
          <w:ilvl w:val="0"/>
          <w:numId w:val="9"/>
        </w:numPr>
        <w:ind w:left="360"/>
        <w:rPr>
          <w:szCs w:val="24"/>
        </w:rPr>
      </w:pPr>
      <w:r w:rsidRPr="59EA5C12">
        <w:rPr>
          <w:szCs w:val="24"/>
        </w:rPr>
        <w:t>generate a description of the value chains associated with the selected bioenergy pathway</w:t>
      </w:r>
      <w:r w:rsidR="00C41EE9" w:rsidRPr="59EA5C12">
        <w:rPr>
          <w:szCs w:val="24"/>
        </w:rPr>
        <w:t>(</w:t>
      </w:r>
      <w:r w:rsidRPr="59EA5C12">
        <w:rPr>
          <w:szCs w:val="24"/>
        </w:rPr>
        <w:t>s</w:t>
      </w:r>
      <w:r w:rsidR="00C41EE9" w:rsidRPr="59EA5C12">
        <w:rPr>
          <w:szCs w:val="24"/>
        </w:rPr>
        <w:t>)</w:t>
      </w:r>
      <w:r w:rsidRPr="59EA5C12">
        <w:rPr>
          <w:szCs w:val="24"/>
        </w:rPr>
        <w:t xml:space="preserve">; and </w:t>
      </w:r>
    </w:p>
    <w:p w14:paraId="3477D48C" w14:textId="18E6ACA4" w:rsidR="004D3574" w:rsidRPr="00DD5EE8" w:rsidRDefault="004D3574" w:rsidP="59EA5C12">
      <w:pPr>
        <w:pStyle w:val="ListParagraph"/>
        <w:numPr>
          <w:ilvl w:val="0"/>
          <w:numId w:val="9"/>
        </w:numPr>
        <w:ind w:left="360"/>
        <w:contextualSpacing w:val="0"/>
        <w:rPr>
          <w:rFonts w:eastAsiaTheme="minorEastAsia"/>
          <w:szCs w:val="24"/>
        </w:rPr>
      </w:pPr>
      <w:r w:rsidRPr="59EA5C12">
        <w:rPr>
          <w:szCs w:val="24"/>
        </w:rPr>
        <w:t>identify critical GBEP indicators, based on the main characteristics of such value chain</w:t>
      </w:r>
      <w:r w:rsidR="00C41EE9" w:rsidRPr="59EA5C12">
        <w:rPr>
          <w:szCs w:val="24"/>
        </w:rPr>
        <w:t>(</w:t>
      </w:r>
      <w:r w:rsidRPr="59EA5C12">
        <w:rPr>
          <w:szCs w:val="24"/>
        </w:rPr>
        <w:t>s</w:t>
      </w:r>
      <w:r w:rsidR="00C41EE9" w:rsidRPr="59EA5C12">
        <w:rPr>
          <w:szCs w:val="24"/>
        </w:rPr>
        <w:t>)</w:t>
      </w:r>
      <w:r w:rsidRPr="59EA5C12">
        <w:rPr>
          <w:szCs w:val="24"/>
        </w:rPr>
        <w:t xml:space="preserve"> and likely impacts on sustainability. </w:t>
      </w:r>
    </w:p>
    <w:p w14:paraId="665E6778" w14:textId="351D9937" w:rsidR="00801DB6" w:rsidRDefault="004D3574" w:rsidP="007564CD">
      <w:pPr>
        <w:pStyle w:val="ListParagraph"/>
        <w:ind w:left="0"/>
        <w:rPr>
          <w:szCs w:val="24"/>
        </w:rPr>
      </w:pPr>
      <w:r w:rsidRPr="59EA5C12">
        <w:rPr>
          <w:szCs w:val="24"/>
        </w:rPr>
        <w:t xml:space="preserve">This </w:t>
      </w:r>
      <w:r w:rsidR="001A4E85" w:rsidRPr="59EA5C12">
        <w:rPr>
          <w:szCs w:val="24"/>
        </w:rPr>
        <w:t xml:space="preserve">Chapter </w:t>
      </w:r>
      <w:r w:rsidRPr="59EA5C12">
        <w:rPr>
          <w:szCs w:val="24"/>
        </w:rPr>
        <w:t xml:space="preserve">consists of four modules, </w:t>
      </w:r>
      <w:r w:rsidR="001A4E85" w:rsidRPr="59EA5C12">
        <w:rPr>
          <w:szCs w:val="24"/>
        </w:rPr>
        <w:t>which should be approached as follows:</w:t>
      </w:r>
    </w:p>
    <w:p w14:paraId="4B8B9105" w14:textId="77777777" w:rsidR="00E06910" w:rsidRDefault="00E06910" w:rsidP="007564CD">
      <w:pPr>
        <w:pStyle w:val="ListParagraph"/>
        <w:ind w:left="0"/>
        <w:rPr>
          <w:szCs w:val="24"/>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497"/>
        <w:gridCol w:w="4493"/>
      </w:tblGrid>
      <w:tr w:rsidR="001A4E85" w14:paraId="01E17EAD" w14:textId="77777777" w:rsidTr="00E06910">
        <w:tc>
          <w:tcPr>
            <w:tcW w:w="4497" w:type="dxa"/>
          </w:tcPr>
          <w:p w14:paraId="02AFF3AD" w14:textId="68CB10B0" w:rsidR="001A4E85" w:rsidRPr="001A4E85" w:rsidRDefault="001A4E85" w:rsidP="59EA5C12">
            <w:pPr>
              <w:pStyle w:val="ListParagraph"/>
              <w:ind w:left="0"/>
              <w:rPr>
                <w:b/>
                <w:bCs/>
                <w:szCs w:val="24"/>
              </w:rPr>
            </w:pPr>
            <w:r w:rsidRPr="59EA5C12">
              <w:rPr>
                <w:b/>
                <w:bCs/>
                <w:szCs w:val="24"/>
              </w:rPr>
              <w:t>Compulsory (i.e. relevant to all bioenergy pathways):</w:t>
            </w:r>
          </w:p>
        </w:tc>
        <w:tc>
          <w:tcPr>
            <w:tcW w:w="4493" w:type="dxa"/>
          </w:tcPr>
          <w:p w14:paraId="3323DCFC" w14:textId="63F0F0EE" w:rsidR="001A4E85" w:rsidRPr="001A4E85" w:rsidRDefault="001A4E85" w:rsidP="59EA5C12">
            <w:pPr>
              <w:pStyle w:val="ListParagraph"/>
              <w:ind w:left="0"/>
              <w:rPr>
                <w:b/>
                <w:bCs/>
                <w:szCs w:val="24"/>
              </w:rPr>
            </w:pPr>
            <w:r w:rsidRPr="59EA5C12">
              <w:rPr>
                <w:b/>
                <w:bCs/>
                <w:szCs w:val="24"/>
              </w:rPr>
              <w:t>To be filled in depending on the selected bioenergy pathway(s) and end uses:</w:t>
            </w:r>
          </w:p>
        </w:tc>
      </w:tr>
      <w:tr w:rsidR="001A4E85" w14:paraId="5A5388F9" w14:textId="77777777" w:rsidTr="00E06910">
        <w:tc>
          <w:tcPr>
            <w:tcW w:w="4497" w:type="dxa"/>
          </w:tcPr>
          <w:p w14:paraId="42C57622" w14:textId="3DBDA9C8" w:rsidR="001A4E85" w:rsidRDefault="00F97D9B" w:rsidP="000F0EBE">
            <w:pPr>
              <w:pStyle w:val="ListParagraph"/>
              <w:ind w:left="0"/>
              <w:rPr>
                <w:szCs w:val="24"/>
              </w:rPr>
            </w:pPr>
            <w:r w:rsidRPr="000450F5">
              <w:rPr>
                <w:b/>
                <w:color w:val="EB861D"/>
                <w:szCs w:val="24"/>
              </w:rPr>
              <w:t>Module</w:t>
            </w:r>
            <w:r w:rsidR="001A4E85" w:rsidRPr="000450F5">
              <w:rPr>
                <w:b/>
                <w:color w:val="EB861D"/>
                <w:szCs w:val="24"/>
              </w:rPr>
              <w:t xml:space="preserve"> 5.4</w:t>
            </w:r>
            <w:r w:rsidR="001A4E85" w:rsidRPr="000450F5">
              <w:rPr>
                <w:color w:val="EB861D"/>
                <w:szCs w:val="24"/>
              </w:rPr>
              <w:t xml:space="preserve"> </w:t>
            </w:r>
            <w:r w:rsidR="001A4E85" w:rsidRPr="59EA5C12">
              <w:rPr>
                <w:szCs w:val="24"/>
              </w:rPr>
              <w:t>–</w:t>
            </w:r>
            <w:r w:rsidR="000F0EBE">
              <w:rPr>
                <w:szCs w:val="24"/>
              </w:rPr>
              <w:t xml:space="preserve"> </w:t>
            </w:r>
            <w:r w:rsidR="00E06910">
              <w:rPr>
                <w:szCs w:val="24"/>
              </w:rPr>
              <w:t>F</w:t>
            </w:r>
            <w:r w:rsidR="001A4E85" w:rsidRPr="59EA5C12">
              <w:rPr>
                <w:szCs w:val="24"/>
              </w:rPr>
              <w:t>eedstock production and harvest</w:t>
            </w:r>
          </w:p>
        </w:tc>
        <w:tc>
          <w:tcPr>
            <w:tcW w:w="4493" w:type="dxa"/>
          </w:tcPr>
          <w:p w14:paraId="46E5F99F" w14:textId="0568030E" w:rsidR="001A4E85" w:rsidRDefault="00F97D9B" w:rsidP="004D3574">
            <w:pPr>
              <w:pStyle w:val="ListParagraph"/>
              <w:ind w:left="0"/>
              <w:rPr>
                <w:szCs w:val="24"/>
              </w:rPr>
            </w:pPr>
            <w:r w:rsidRPr="000450F5">
              <w:rPr>
                <w:b/>
                <w:color w:val="EB861D"/>
                <w:szCs w:val="24"/>
              </w:rPr>
              <w:t>Module</w:t>
            </w:r>
            <w:r w:rsidR="001A4E85" w:rsidRPr="000450F5">
              <w:rPr>
                <w:b/>
                <w:color w:val="EB861D"/>
                <w:szCs w:val="24"/>
              </w:rPr>
              <w:t xml:space="preserve"> 5.1</w:t>
            </w:r>
            <w:r w:rsidR="001A4E85" w:rsidRPr="000450F5">
              <w:rPr>
                <w:color w:val="EB861D"/>
                <w:szCs w:val="24"/>
              </w:rPr>
              <w:t xml:space="preserve"> </w:t>
            </w:r>
            <w:r w:rsidR="001A4E85" w:rsidRPr="59EA5C12">
              <w:rPr>
                <w:szCs w:val="24"/>
              </w:rPr>
              <w:t>– Transport</w:t>
            </w:r>
          </w:p>
          <w:p w14:paraId="7361CD82" w14:textId="6114A751" w:rsidR="001A4E85" w:rsidRDefault="00F97D9B" w:rsidP="004D3574">
            <w:pPr>
              <w:pStyle w:val="ListParagraph"/>
              <w:ind w:left="0"/>
              <w:rPr>
                <w:szCs w:val="24"/>
              </w:rPr>
            </w:pPr>
            <w:r w:rsidRPr="000450F5">
              <w:rPr>
                <w:b/>
                <w:color w:val="EB861D"/>
                <w:szCs w:val="24"/>
              </w:rPr>
              <w:t>Module</w:t>
            </w:r>
            <w:r w:rsidR="001A4E85" w:rsidRPr="000450F5">
              <w:rPr>
                <w:b/>
                <w:color w:val="EB861D"/>
                <w:szCs w:val="24"/>
              </w:rPr>
              <w:t xml:space="preserve"> 5.2</w:t>
            </w:r>
            <w:r w:rsidR="001A4E85" w:rsidRPr="000450F5">
              <w:rPr>
                <w:color w:val="EB861D"/>
                <w:szCs w:val="24"/>
              </w:rPr>
              <w:t xml:space="preserve"> </w:t>
            </w:r>
            <w:r w:rsidR="001A4E85" w:rsidRPr="59EA5C12">
              <w:rPr>
                <w:szCs w:val="24"/>
              </w:rPr>
              <w:t>– Heat and Power</w:t>
            </w:r>
          </w:p>
          <w:p w14:paraId="2C51D48A" w14:textId="39483DDF" w:rsidR="001A4E85" w:rsidRDefault="00F97D9B" w:rsidP="004D3574">
            <w:pPr>
              <w:pStyle w:val="ListParagraph"/>
              <w:ind w:left="0"/>
              <w:rPr>
                <w:szCs w:val="24"/>
              </w:rPr>
            </w:pPr>
            <w:r w:rsidRPr="000450F5">
              <w:rPr>
                <w:b/>
                <w:color w:val="EB861D"/>
                <w:szCs w:val="24"/>
              </w:rPr>
              <w:t>Module</w:t>
            </w:r>
            <w:r w:rsidR="001A4E85" w:rsidRPr="000450F5">
              <w:rPr>
                <w:b/>
                <w:color w:val="EB861D"/>
                <w:szCs w:val="24"/>
              </w:rPr>
              <w:t xml:space="preserve"> 5.3</w:t>
            </w:r>
            <w:r w:rsidR="001A4E85" w:rsidRPr="000450F5">
              <w:rPr>
                <w:color w:val="EB861D"/>
                <w:szCs w:val="24"/>
              </w:rPr>
              <w:t xml:space="preserve"> </w:t>
            </w:r>
            <w:r w:rsidR="001A4E85" w:rsidRPr="59EA5C12">
              <w:rPr>
                <w:szCs w:val="24"/>
              </w:rPr>
              <w:t>– Cooking and heating (small-scale)</w:t>
            </w:r>
          </w:p>
        </w:tc>
      </w:tr>
    </w:tbl>
    <w:p w14:paraId="276FF70E" w14:textId="77777777" w:rsidR="007564CD" w:rsidRDefault="007564CD" w:rsidP="007564CD">
      <w:pPr>
        <w:spacing w:after="140" w:line="254" w:lineRule="auto"/>
        <w:rPr>
          <w:szCs w:val="24"/>
        </w:rPr>
      </w:pPr>
    </w:p>
    <w:p w14:paraId="18BA42DF" w14:textId="014FEAE3" w:rsidR="004D3574" w:rsidRPr="00F97D9B" w:rsidRDefault="004D3574" w:rsidP="00F97D9B">
      <w:pPr>
        <w:spacing w:after="140" w:line="254" w:lineRule="auto"/>
        <w:rPr>
          <w:rFonts w:eastAsiaTheme="minorEastAsia"/>
          <w:szCs w:val="24"/>
        </w:rPr>
      </w:pPr>
      <w:r w:rsidRPr="00F97D9B">
        <w:rPr>
          <w:szCs w:val="24"/>
        </w:rPr>
        <w:t xml:space="preserve">The questions </w:t>
      </w:r>
      <w:r w:rsidR="007564CD" w:rsidRPr="00F97D9B">
        <w:rPr>
          <w:szCs w:val="24"/>
        </w:rPr>
        <w:t>in this Chapter</w:t>
      </w:r>
      <w:r w:rsidRPr="00F97D9B">
        <w:rPr>
          <w:szCs w:val="24"/>
        </w:rPr>
        <w:t xml:space="preserve"> are grouped into different categories, depending on: </w:t>
      </w:r>
    </w:p>
    <w:p w14:paraId="3CA41A10" w14:textId="07BCCB82" w:rsidR="004D3574" w:rsidRDefault="004D3574" w:rsidP="007564CD">
      <w:pPr>
        <w:pStyle w:val="ListParagraph"/>
        <w:numPr>
          <w:ilvl w:val="0"/>
          <w:numId w:val="10"/>
        </w:numPr>
        <w:spacing w:after="140" w:line="254" w:lineRule="auto"/>
        <w:ind w:left="360"/>
        <w:rPr>
          <w:szCs w:val="24"/>
        </w:rPr>
      </w:pPr>
      <w:r w:rsidRPr="5EA2F3A5">
        <w:rPr>
          <w:szCs w:val="24"/>
        </w:rPr>
        <w:t>the origin of the biofuel;</w:t>
      </w:r>
    </w:p>
    <w:p w14:paraId="4F2D467C" w14:textId="2FE3536D" w:rsidR="004D3574" w:rsidRPr="004D3574" w:rsidRDefault="004D3574" w:rsidP="007564CD">
      <w:pPr>
        <w:pStyle w:val="ListParagraph"/>
        <w:numPr>
          <w:ilvl w:val="0"/>
          <w:numId w:val="10"/>
        </w:numPr>
        <w:spacing w:after="140" w:line="254" w:lineRule="auto"/>
        <w:ind w:left="360"/>
        <w:rPr>
          <w:szCs w:val="24"/>
        </w:rPr>
      </w:pPr>
      <w:r w:rsidRPr="5EA2F3A5">
        <w:rPr>
          <w:szCs w:val="24"/>
        </w:rPr>
        <w:t>the type</w:t>
      </w:r>
      <w:r>
        <w:rPr>
          <w:szCs w:val="24"/>
        </w:rPr>
        <w:t>(s) and origin</w:t>
      </w:r>
      <w:r w:rsidRPr="5EA2F3A5">
        <w:rPr>
          <w:szCs w:val="24"/>
        </w:rPr>
        <w:t xml:space="preserve"> of</w:t>
      </w:r>
      <w:r>
        <w:rPr>
          <w:szCs w:val="24"/>
        </w:rPr>
        <w:t xml:space="preserve"> the</w:t>
      </w:r>
      <w:r w:rsidRPr="5EA2F3A5">
        <w:rPr>
          <w:szCs w:val="24"/>
        </w:rPr>
        <w:t xml:space="preserve"> feedstock used</w:t>
      </w:r>
      <w:r>
        <w:rPr>
          <w:szCs w:val="24"/>
        </w:rPr>
        <w:t>; and</w:t>
      </w:r>
    </w:p>
    <w:p w14:paraId="5AC9BFB9" w14:textId="18F0269C" w:rsidR="004D3574" w:rsidRPr="004D3574" w:rsidRDefault="004D3574" w:rsidP="007564CD">
      <w:pPr>
        <w:pStyle w:val="ListParagraph"/>
        <w:numPr>
          <w:ilvl w:val="0"/>
          <w:numId w:val="10"/>
        </w:numPr>
        <w:spacing w:after="140" w:line="254" w:lineRule="auto"/>
        <w:ind w:left="360"/>
        <w:rPr>
          <w:rFonts w:eastAsiaTheme="minorEastAsia"/>
          <w:szCs w:val="24"/>
        </w:rPr>
      </w:pPr>
      <w:r w:rsidRPr="00C24513">
        <w:rPr>
          <w:szCs w:val="24"/>
          <w:lang w:val="en-GB"/>
        </w:rPr>
        <w:t xml:space="preserve">the types of fuels and technologies that were displaced, if any. </w:t>
      </w:r>
    </w:p>
    <w:p w14:paraId="5005E645" w14:textId="13105D60" w:rsidR="004D3574" w:rsidRDefault="004D3574" w:rsidP="59EA5C12">
      <w:pPr>
        <w:spacing w:after="140" w:line="254" w:lineRule="auto"/>
        <w:rPr>
          <w:rFonts w:eastAsiaTheme="minorEastAsia"/>
          <w:szCs w:val="24"/>
        </w:rPr>
      </w:pPr>
      <w:r w:rsidRPr="59EA5C12">
        <w:rPr>
          <w:rFonts w:eastAsiaTheme="minorEastAsia"/>
          <w:szCs w:val="24"/>
        </w:rPr>
        <w:t xml:space="preserve">Based on the answers to these questions and on the environmental and socio-economic characteristics/conditions and related vulnerabilities in the country/area considered, a list of critical GBEP indicators (in addition to those already identified </w:t>
      </w:r>
      <w:r w:rsidR="007564CD" w:rsidRPr="59EA5C12">
        <w:rPr>
          <w:rFonts w:eastAsiaTheme="minorEastAsia"/>
          <w:szCs w:val="24"/>
        </w:rPr>
        <w:t>in Chapter 2</w:t>
      </w:r>
      <w:r w:rsidRPr="59EA5C12">
        <w:rPr>
          <w:rFonts w:eastAsiaTheme="minorEastAsia"/>
          <w:szCs w:val="24"/>
        </w:rPr>
        <w:t xml:space="preserve">) is generated. </w:t>
      </w:r>
    </w:p>
    <w:p w14:paraId="6D789E1C" w14:textId="65B04BF4" w:rsidR="007564CD" w:rsidRDefault="00DD5EE8" w:rsidP="59EA5C12">
      <w:pPr>
        <w:spacing w:after="140" w:line="254" w:lineRule="auto"/>
        <w:rPr>
          <w:rFonts w:eastAsiaTheme="minorEastAsia"/>
          <w:szCs w:val="24"/>
        </w:rPr>
      </w:pPr>
      <w:r w:rsidRPr="59EA5C12">
        <w:rPr>
          <w:rFonts w:eastAsiaTheme="minorEastAsia"/>
          <w:szCs w:val="24"/>
        </w:rPr>
        <w:t>In parallel with this process, t</w:t>
      </w:r>
      <w:r w:rsidR="007564CD" w:rsidRPr="59EA5C12">
        <w:rPr>
          <w:rFonts w:eastAsiaTheme="minorEastAsia"/>
          <w:szCs w:val="24"/>
        </w:rPr>
        <w:t xml:space="preserve">he identified critical GBEP indicators from both Chapter 2 and Chapter 5 should be included in the supplementary </w:t>
      </w:r>
      <w:r w:rsidR="007564CD" w:rsidRPr="59EA5C12">
        <w:rPr>
          <w:rFonts w:eastAsiaTheme="minorEastAsia"/>
          <w:b/>
          <w:bCs/>
          <w:szCs w:val="24"/>
        </w:rPr>
        <w:t>Summary Booklet</w:t>
      </w:r>
      <w:r w:rsidR="16C14E25" w:rsidRPr="59EA5C12">
        <w:rPr>
          <w:rFonts w:eastAsiaTheme="minorEastAsia"/>
          <w:b/>
          <w:bCs/>
          <w:szCs w:val="24"/>
        </w:rPr>
        <w:t xml:space="preserve"> </w:t>
      </w:r>
      <w:r w:rsidR="16C14E25" w:rsidRPr="59EA5C12">
        <w:rPr>
          <w:rFonts w:eastAsiaTheme="minorEastAsia"/>
          <w:szCs w:val="24"/>
        </w:rPr>
        <w:t xml:space="preserve">available in </w:t>
      </w:r>
      <w:r w:rsidR="16C14E25" w:rsidRPr="000450F5">
        <w:rPr>
          <w:rFonts w:eastAsiaTheme="minorEastAsia"/>
          <w:b/>
          <w:bCs/>
          <w:color w:val="EB861D"/>
          <w:szCs w:val="24"/>
        </w:rPr>
        <w:t>Chapter 6</w:t>
      </w:r>
      <w:r w:rsidR="16C14E25" w:rsidRPr="59EA5C12">
        <w:rPr>
          <w:rFonts w:eastAsiaTheme="minorEastAsia"/>
          <w:szCs w:val="24"/>
        </w:rPr>
        <w:t xml:space="preserve"> (</w:t>
      </w:r>
      <w:r w:rsidR="16C14E25" w:rsidRPr="59EA5C12">
        <w:rPr>
          <w:szCs w:val="24"/>
        </w:rPr>
        <w:t>Visualization of Results of Prioritization of GBEP indicators)</w:t>
      </w:r>
      <w:r w:rsidR="007564CD" w:rsidRPr="59EA5C12">
        <w:rPr>
          <w:rFonts w:eastAsiaTheme="minorEastAsia"/>
          <w:szCs w:val="24"/>
        </w:rPr>
        <w:t>. There, a table is provided where each factor that contributed to the selection of the critical indicators for the bioenergy pathway can be noted for future ease of reference.</w:t>
      </w:r>
    </w:p>
    <w:p w14:paraId="018F0A00" w14:textId="1726000F" w:rsidR="00CD2E3E" w:rsidRDefault="007564CD" w:rsidP="001755A9">
      <w:pPr>
        <w:spacing w:after="140" w:line="254" w:lineRule="auto"/>
        <w:rPr>
          <w:rFonts w:eastAsiaTheme="minorEastAsia"/>
          <w:szCs w:val="24"/>
        </w:rPr>
      </w:pPr>
      <w:r w:rsidRPr="59EA5C12">
        <w:rPr>
          <w:rFonts w:eastAsiaTheme="minorEastAsia"/>
          <w:szCs w:val="24"/>
        </w:rPr>
        <w:t xml:space="preserve">Finally, </w:t>
      </w:r>
      <w:r w:rsidRPr="000450F5">
        <w:rPr>
          <w:rFonts w:eastAsiaTheme="minorEastAsia"/>
          <w:b/>
          <w:bCs/>
          <w:color w:val="EB861D"/>
          <w:szCs w:val="24"/>
        </w:rPr>
        <w:t xml:space="preserve">Chapter </w:t>
      </w:r>
      <w:r w:rsidR="43B7D632" w:rsidRPr="000450F5">
        <w:rPr>
          <w:rFonts w:eastAsiaTheme="minorEastAsia"/>
          <w:b/>
          <w:bCs/>
          <w:color w:val="EB861D"/>
          <w:szCs w:val="24"/>
        </w:rPr>
        <w:t>7</w:t>
      </w:r>
      <w:r w:rsidR="004D3574" w:rsidRPr="59EA5C12">
        <w:rPr>
          <w:rFonts w:eastAsiaTheme="minorEastAsia"/>
          <w:szCs w:val="24"/>
        </w:rPr>
        <w:t xml:space="preserve"> aims to support the rapid measurement of the critical GBEP indicators. In particular, guidance is provided on the monitoring of the level (and quality) of implementation of relevant safeguards and good practices that can mitigate risks and increase benefits in relation to the sustainability dimensions addressed by the GBEP indicators.</w:t>
      </w:r>
      <w:r w:rsidR="00577D28">
        <w:rPr>
          <w:rFonts w:eastAsiaTheme="minorEastAsia"/>
          <w:szCs w:val="24"/>
        </w:rPr>
        <w:t xml:space="preserve"> Please see Box 1 for a more detailed discussion on this. </w:t>
      </w:r>
    </w:p>
    <w:p w14:paraId="698FD691" w14:textId="77777777" w:rsidR="00CD2E3E" w:rsidRDefault="00CD2E3E" w:rsidP="001755A9">
      <w:pPr>
        <w:spacing w:after="140" w:line="254" w:lineRule="auto"/>
        <w:rPr>
          <w:rFonts w:eastAsiaTheme="minorEastAsia"/>
          <w:szCs w:val="24"/>
        </w:rPr>
      </w:pPr>
    </w:p>
    <w:p w14:paraId="183B759B" w14:textId="77777777" w:rsidR="00CD2E3E" w:rsidRDefault="00CD2E3E" w:rsidP="001755A9">
      <w:pPr>
        <w:spacing w:after="140" w:line="254" w:lineRule="auto"/>
        <w:rPr>
          <w:rFonts w:eastAsiaTheme="minorEastAsia"/>
          <w:szCs w:val="24"/>
        </w:rPr>
      </w:pPr>
    </w:p>
    <w:p w14:paraId="3D1132FD" w14:textId="699C2DDC" w:rsidR="000450F5" w:rsidRPr="001755A9" w:rsidRDefault="00CD2E3E" w:rsidP="001755A9">
      <w:pPr>
        <w:spacing w:after="140" w:line="254" w:lineRule="auto"/>
        <w:rPr>
          <w:rFonts w:eastAsiaTheme="minorEastAsia"/>
          <w:szCs w:val="24"/>
        </w:rPr>
      </w:pPr>
      <w:r>
        <w:rPr>
          <w:noProof/>
        </w:rPr>
        <w:lastRenderedPageBreak/>
        <mc:AlternateContent>
          <mc:Choice Requires="wps">
            <w:drawing>
              <wp:anchor distT="0" distB="0" distL="114300" distR="114300" simplePos="0" relativeHeight="251667456" behindDoc="0" locked="0" layoutInCell="1" allowOverlap="1" wp14:anchorId="3B00BEF0" wp14:editId="6C4D5278">
                <wp:simplePos x="0" y="0"/>
                <wp:positionH relativeFrom="column">
                  <wp:posOffset>2855344</wp:posOffset>
                </wp:positionH>
                <wp:positionV relativeFrom="paragraph">
                  <wp:posOffset>6917690</wp:posOffset>
                </wp:positionV>
                <wp:extent cx="195943" cy="315685"/>
                <wp:effectExtent l="19050" t="0" r="13970" b="46355"/>
                <wp:wrapNone/>
                <wp:docPr id="11" name="Down Arrow 11"/>
                <wp:cNvGraphicFramePr/>
                <a:graphic xmlns:a="http://schemas.openxmlformats.org/drawingml/2006/main">
                  <a:graphicData uri="http://schemas.microsoft.com/office/word/2010/wordprocessingShape">
                    <wps:wsp>
                      <wps:cNvSpPr/>
                      <wps:spPr>
                        <a:xfrm>
                          <a:off x="0" y="0"/>
                          <a:ext cx="195943" cy="315685"/>
                        </a:xfrm>
                        <a:prstGeom prst="downArrow">
                          <a:avLst/>
                        </a:prstGeom>
                        <a:gradFill flip="none" rotWithShape="1">
                          <a:gsLst>
                            <a:gs pos="0">
                              <a:srgbClr val="EB861D">
                                <a:tint val="66000"/>
                                <a:satMod val="160000"/>
                              </a:srgbClr>
                            </a:gs>
                            <a:gs pos="50000">
                              <a:srgbClr val="EB861D">
                                <a:tint val="44500"/>
                                <a:satMod val="160000"/>
                              </a:srgbClr>
                            </a:gs>
                            <a:gs pos="100000">
                              <a:srgbClr val="EB861D">
                                <a:tint val="23500"/>
                                <a:satMod val="160000"/>
                              </a:srgbClr>
                            </a:gs>
                          </a:gsLst>
                          <a:lin ang="10800000" scaled="1"/>
                          <a:tileRect/>
                        </a:gradFill>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189EABC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1" o:spid="_x0000_s1026" type="#_x0000_t67" style="position:absolute;margin-left:224.85pt;margin-top:544.7pt;width:15.45pt;height:24.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" adj="14897" fillcolor="#ffb386" strokecolor="#ed7d31 [3205]" strokeweight=".5pt">
                <v:fill color2="#ffe7dc" rotate="t" angle="270" colors="0 #ffb386;.5 #ffcfb7;1 #ffe7dc" focus="100%" type="gradient"/>
              </v:shape>
            </w:pict>
          </mc:Fallback>
        </mc:AlternateContent>
      </w:r>
      <w:r>
        <w:rPr>
          <w:noProof/>
        </w:rPr>
        <mc:AlternateContent>
          <mc:Choice Requires="wpg">
            <w:drawing>
              <wp:inline distT="0" distB="0" distL="0" distR="0" wp14:anchorId="13EF3C66" wp14:editId="67B3EE1B">
                <wp:extent cx="5943069" cy="1466491"/>
                <wp:effectExtent l="0" t="0" r="19685" b="19685"/>
                <wp:docPr id="6" name="Group 6"/>
                <wp:cNvGraphicFramePr/>
                <a:graphic xmlns:a="http://schemas.openxmlformats.org/drawingml/2006/main">
                  <a:graphicData uri="http://schemas.microsoft.com/office/word/2010/wordprocessingGroup">
                    <wpg:wgp>
                      <wpg:cNvGrpSpPr/>
                      <wpg:grpSpPr>
                        <a:xfrm>
                          <a:off x="0" y="0"/>
                          <a:ext cx="5943069" cy="1466491"/>
                          <a:chOff x="1676400" y="-15272"/>
                          <a:chExt cx="6084570" cy="1501518"/>
                        </a:xfrm>
                      </wpg:grpSpPr>
                      <wps:wsp>
                        <wps:cNvPr id="7" name="Rounded Rectangle 7"/>
                        <wps:cNvSpPr/>
                        <wps:spPr>
                          <a:xfrm>
                            <a:off x="3648892" y="-15272"/>
                            <a:ext cx="2072640" cy="289560"/>
                          </a:xfrm>
                          <a:prstGeom prst="roundRect">
                            <a:avLst/>
                          </a:prstGeom>
                          <a:solidFill>
                            <a:srgbClr val="F6C798"/>
                          </a:solidFill>
                          <a:ln>
                            <a:solidFill>
                              <a:srgbClr val="EB861D"/>
                            </a:solidFill>
                          </a:ln>
                        </wps:spPr>
                        <wps:style>
                          <a:lnRef idx="1">
                            <a:schemeClr val="accent2"/>
                          </a:lnRef>
                          <a:fillRef idx="2">
                            <a:schemeClr val="accent2"/>
                          </a:fillRef>
                          <a:effectRef idx="1">
                            <a:schemeClr val="accent2"/>
                          </a:effectRef>
                          <a:fontRef idx="minor">
                            <a:schemeClr val="dk1"/>
                          </a:fontRef>
                        </wps:style>
                        <wps:txbx>
                          <w:txbxContent>
                            <w:p w14:paraId="5E92EA37" w14:textId="77777777" w:rsidR="00CD2E3E" w:rsidRPr="005A24B3" w:rsidRDefault="00CD2E3E" w:rsidP="00CD2E3E">
                              <w:pPr>
                                <w:jc w:val="center"/>
                                <w:rPr>
                                  <w:b/>
                                </w:rPr>
                              </w:pPr>
                              <w:r w:rsidRPr="005A24B3">
                                <w:rPr>
                                  <w:b/>
                                </w:rPr>
                                <w:t>WHERE 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ounded Rectangle 9"/>
                        <wps:cNvSpPr/>
                        <wps:spPr>
                          <a:xfrm>
                            <a:off x="1676400" y="722782"/>
                            <a:ext cx="6084570" cy="763464"/>
                          </a:xfrm>
                          <a:prstGeom prst="roundRect">
                            <a:avLst/>
                          </a:prstGeom>
                          <a:solidFill>
                            <a:srgbClr val="F6C798"/>
                          </a:solidFill>
                          <a:ln>
                            <a:solidFill>
                              <a:srgbClr val="EB861D"/>
                            </a:solidFill>
                          </a:ln>
                        </wps:spPr>
                        <wps:style>
                          <a:lnRef idx="1">
                            <a:schemeClr val="accent2"/>
                          </a:lnRef>
                          <a:fillRef idx="2">
                            <a:schemeClr val="accent2"/>
                          </a:fillRef>
                          <a:effectRef idx="1">
                            <a:schemeClr val="accent2"/>
                          </a:effectRef>
                          <a:fontRef idx="minor">
                            <a:schemeClr val="dk1"/>
                          </a:fontRef>
                        </wps:style>
                        <wps:txbx>
                          <w:txbxContent>
                            <w:p w14:paraId="7A5FC567" w14:textId="77777777" w:rsidR="00CD2E3E" w:rsidRPr="000450F5" w:rsidRDefault="00CD2E3E" w:rsidP="00CD2E3E">
                              <w:pPr>
                                <w:spacing w:line="254" w:lineRule="auto"/>
                                <w:rPr>
                                  <w:rFonts w:eastAsiaTheme="minorEastAsia"/>
                                  <w:b/>
                                  <w:szCs w:val="24"/>
                                </w:rPr>
                              </w:pPr>
                              <w:r w:rsidRPr="000450F5">
                                <w:rPr>
                                  <w:rFonts w:eastAsiaTheme="minorEastAsia"/>
                                  <w:b/>
                                  <w:szCs w:val="24"/>
                                </w:rPr>
                                <w:t>Finished this Chapter?</w:t>
                              </w:r>
                            </w:p>
                            <w:p w14:paraId="2D363C4B" w14:textId="4724ECFD" w:rsidR="00CD2E3E" w:rsidRDefault="00CD2E3E" w:rsidP="00CD2E3E">
                              <w:r>
                                <w:rPr>
                                  <w:rFonts w:eastAsiaTheme="minorEastAsia"/>
                                  <w:szCs w:val="24"/>
                                </w:rPr>
                                <w:t>Go to Chapter 2 “D</w:t>
                              </w:r>
                              <w:r w:rsidRPr="000450F5">
                                <w:rPr>
                                  <w:rFonts w:eastAsiaTheme="minorEastAsia"/>
                                  <w:szCs w:val="24"/>
                                </w:rPr>
                                <w:t>escription of institutional context and regulatory framework</w:t>
                              </w:r>
                              <w:r>
                                <w:rPr>
                                  <w:rFonts w:eastAsiaTheme="minorEastAsia"/>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cx1="http://schemas.microsoft.com/office/drawing/2015/9/8/chartex">
            <w:pict>
              <v:group w14:anchorId="13EF3C66" id="Group 6" o:spid="_x0000_s1029" style="width:467.95pt;height:115.45pt;mso-position-horizontal-relative:char;mso-position-vertical-relative:line" coordorigin="16764,-152" coordsize="60845,15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">
                <v:roundrect id="Rounded Rectangle 7" o:spid="_x0000_s1030" style="position:absolute;left:36488;top:-152;width:20727;height:28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" fillcolor="#f6c798" strokecolor="#eb861d" strokeweight=".5pt">
                  <v:stroke joinstyle="miter"/>
                  <v:textbox>
                    <w:txbxContent>
                      <w:p w14:paraId="5E92EA37" w14:textId="77777777" w:rsidR="00CD2E3E" w:rsidRPr="005A24B3" w:rsidRDefault="00CD2E3E" w:rsidP="00CD2E3E">
                        <w:pPr>
                          <w:jc w:val="center"/>
                          <w:rPr>
                            <w:b/>
                          </w:rPr>
                        </w:pPr>
                        <w:r w:rsidRPr="005A24B3">
                          <w:rPr>
                            <w:b/>
                          </w:rPr>
                          <w:t>WHERE TO?</w:t>
                        </w:r>
                      </w:p>
                    </w:txbxContent>
                  </v:textbox>
                </v:roundrect>
                <v:roundrect id="Rounded Rectangle 9" o:spid="_x0000_s1031" style="position:absolute;left:16764;top:7227;width:60845;height:763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" fillcolor="#f6c798" strokecolor="#eb861d" strokeweight=".5pt">
                  <v:stroke joinstyle="miter"/>
                  <v:textbox>
                    <w:txbxContent>
                      <w:p w14:paraId="7A5FC567" w14:textId="77777777" w:rsidR="00CD2E3E" w:rsidRPr="000450F5" w:rsidRDefault="00CD2E3E" w:rsidP="00CD2E3E">
                        <w:pPr>
                          <w:spacing w:line="254" w:lineRule="auto"/>
                          <w:rPr>
                            <w:rFonts w:eastAsiaTheme="minorEastAsia"/>
                            <w:b/>
                            <w:szCs w:val="24"/>
                          </w:rPr>
                        </w:pPr>
                        <w:r w:rsidRPr="000450F5">
                          <w:rPr>
                            <w:rFonts w:eastAsiaTheme="minorEastAsia"/>
                            <w:b/>
                            <w:szCs w:val="24"/>
                          </w:rPr>
                          <w:t>Finished this Chapter</w:t>
                        </w:r>
                        <w:bookmarkStart w:id="1" w:name="_GoBack"/>
                        <w:bookmarkEnd w:id="1"/>
                        <w:r w:rsidRPr="000450F5">
                          <w:rPr>
                            <w:rFonts w:eastAsiaTheme="minorEastAsia"/>
                            <w:b/>
                            <w:szCs w:val="24"/>
                          </w:rPr>
                          <w:t>?</w:t>
                        </w:r>
                      </w:p>
                      <w:p w14:paraId="2D363C4B" w14:textId="4724ECFD" w:rsidR="00CD2E3E" w:rsidRDefault="00CD2E3E" w:rsidP="00CD2E3E">
                        <w:r>
                          <w:rPr>
                            <w:rFonts w:eastAsiaTheme="minorEastAsia"/>
                            <w:szCs w:val="24"/>
                          </w:rPr>
                          <w:t>Go to Chapter 2 “D</w:t>
                        </w:r>
                        <w:r w:rsidRPr="000450F5">
                          <w:rPr>
                            <w:rFonts w:eastAsiaTheme="minorEastAsia"/>
                            <w:szCs w:val="24"/>
                          </w:rPr>
                          <w:t>escription of institutional context and regulatory framework</w:t>
                        </w:r>
                        <w:r>
                          <w:rPr>
                            <w:rFonts w:eastAsiaTheme="minorEastAsia"/>
                            <w:szCs w:val="24"/>
                          </w:rPr>
                          <w:t>”.</w:t>
                        </w:r>
                      </w:p>
                    </w:txbxContent>
                  </v:textbox>
                </v:roundrect>
                <w10:anchorlock/>
              </v:group>
            </w:pict>
          </mc:Fallback>
        </mc:AlternateContent>
      </w:r>
      <w:r w:rsidR="00577D28" w:rsidRPr="00577D28">
        <w:rPr>
          <w:rFonts w:eastAsiaTheme="minorEastAsia"/>
          <w:noProof/>
          <w:szCs w:val="24"/>
        </w:rPr>
        <mc:AlternateContent>
          <mc:Choice Requires="wps">
            <w:drawing>
              <wp:anchor distT="45720" distB="45720" distL="114300" distR="114300" simplePos="0" relativeHeight="251659264" behindDoc="0" locked="0" layoutInCell="1" allowOverlap="1" wp14:anchorId="41041F10" wp14:editId="31596C40">
                <wp:simplePos x="0" y="0"/>
                <wp:positionH relativeFrom="margin">
                  <wp:align>left</wp:align>
                </wp:positionH>
                <wp:positionV relativeFrom="paragraph">
                  <wp:posOffset>180975</wp:posOffset>
                </wp:positionV>
                <wp:extent cx="6096000" cy="1404620"/>
                <wp:effectExtent l="0" t="0" r="19050"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404620"/>
                        </a:xfrm>
                        <a:prstGeom prst="rect">
                          <a:avLst/>
                        </a:prstGeom>
                        <a:solidFill>
                          <a:srgbClr val="FFFFFF"/>
                        </a:solidFill>
                        <a:ln w="9525">
                          <a:solidFill>
                            <a:srgbClr val="000000"/>
                          </a:solidFill>
                          <a:miter lim="800000"/>
                          <a:headEnd/>
                          <a:tailEnd/>
                        </a:ln>
                      </wps:spPr>
                      <wps:txbx>
                        <w:txbxContent>
                          <w:p w14:paraId="28F1028D" w14:textId="7C36109D" w:rsidR="00346410" w:rsidRPr="000821C1" w:rsidRDefault="00346410" w:rsidP="00577D28">
                            <w:pPr>
                              <w:spacing w:after="140" w:line="254" w:lineRule="auto"/>
                              <w:rPr>
                                <w:rFonts w:eastAsiaTheme="minorEastAsia"/>
                                <w:b/>
                                <w:szCs w:val="24"/>
                                <w:u w:val="single"/>
                              </w:rPr>
                            </w:pPr>
                            <w:r w:rsidRPr="000821C1">
                              <w:rPr>
                                <w:rFonts w:eastAsiaTheme="minorEastAsia"/>
                                <w:b/>
                                <w:szCs w:val="24"/>
                                <w:u w:val="single"/>
                              </w:rPr>
                              <w:t>Box 1 – Safeguards and good practices for sustainable bioenergy</w:t>
                            </w:r>
                            <w:r>
                              <w:rPr>
                                <w:rFonts w:eastAsiaTheme="minorEastAsia"/>
                                <w:b/>
                                <w:szCs w:val="24"/>
                                <w:u w:val="single"/>
                              </w:rPr>
                              <w:t>: the Climate-Smart Agriculture approach</w:t>
                            </w:r>
                          </w:p>
                          <w:p w14:paraId="69E5C99D" w14:textId="7BA39E68" w:rsidR="00346410" w:rsidRDefault="00346410" w:rsidP="00577D28">
                            <w:pPr>
                              <w:spacing w:after="140" w:line="254" w:lineRule="auto"/>
                              <w:rPr>
                                <w:rFonts w:eastAsiaTheme="minorEastAsia"/>
                                <w:szCs w:val="24"/>
                              </w:rPr>
                            </w:pPr>
                            <w:r>
                              <w:rPr>
                                <w:rFonts w:eastAsiaTheme="minorEastAsia"/>
                                <w:szCs w:val="24"/>
                              </w:rPr>
                              <w:t xml:space="preserve">The monitoring of the level of uptake – and its change over time – of </w:t>
                            </w:r>
                            <w:r w:rsidRPr="000821C1">
                              <w:rPr>
                                <w:rFonts w:eastAsiaTheme="minorEastAsia"/>
                                <w:b/>
                                <w:i/>
                                <w:szCs w:val="24"/>
                              </w:rPr>
                              <w:t>climate</w:t>
                            </w:r>
                            <w:r>
                              <w:rPr>
                                <w:rFonts w:eastAsiaTheme="minorEastAsia"/>
                                <w:b/>
                                <w:i/>
                                <w:szCs w:val="24"/>
                              </w:rPr>
                              <w:t>-</w:t>
                            </w:r>
                            <w:r w:rsidRPr="000821C1">
                              <w:rPr>
                                <w:rFonts w:eastAsiaTheme="minorEastAsia"/>
                                <w:b/>
                                <w:i/>
                                <w:szCs w:val="24"/>
                              </w:rPr>
                              <w:t>smart agriculture (CSA) practices</w:t>
                            </w:r>
                            <w:r>
                              <w:rPr>
                                <w:rFonts w:eastAsiaTheme="minorEastAsia"/>
                                <w:szCs w:val="24"/>
                              </w:rPr>
                              <w:t>, along with other safeguards and good practices, can provide a preliminary indication of the sustainability of biomass supply.</w:t>
                            </w:r>
                          </w:p>
                          <w:p w14:paraId="2F7485A5" w14:textId="1995D547" w:rsidR="00346410" w:rsidRPr="000811AC" w:rsidRDefault="00346410" w:rsidP="00577D28">
                            <w:pPr>
                              <w:spacing w:after="140" w:line="254" w:lineRule="auto"/>
                              <w:rPr>
                                <w:rFonts w:eastAsiaTheme="minorEastAsia"/>
                                <w:szCs w:val="24"/>
                              </w:rPr>
                            </w:pPr>
                            <w:r w:rsidRPr="000811AC">
                              <w:rPr>
                                <w:rFonts w:eastAsiaTheme="minorEastAsia"/>
                                <w:szCs w:val="24"/>
                              </w:rPr>
                              <w:t xml:space="preserve">Some of the main objectives of CSA are to sustainably increase agricultural productivity and to reduce GHG emissions, whilst adapting and building resilience to climate change. These are also objectives that are important for the production of feedstock for sustainable bioenergy production. This approach is therefore beneficial to mainstream into bioenergy systems. There are two cases where this approach could be applied: </w:t>
                            </w:r>
                          </w:p>
                          <w:p w14:paraId="2437DD37" w14:textId="296D9668" w:rsidR="00346410" w:rsidRPr="003D631F" w:rsidRDefault="00346410" w:rsidP="00577D28">
                            <w:pPr>
                              <w:pStyle w:val="ListParagraph"/>
                              <w:numPr>
                                <w:ilvl w:val="0"/>
                                <w:numId w:val="28"/>
                              </w:numPr>
                              <w:spacing w:after="140" w:line="254" w:lineRule="auto"/>
                              <w:rPr>
                                <w:rFonts w:eastAsiaTheme="minorEastAsia"/>
                                <w:szCs w:val="24"/>
                              </w:rPr>
                            </w:pPr>
                            <w:r w:rsidRPr="000821C1">
                              <w:rPr>
                                <w:rFonts w:eastAsiaTheme="minorEastAsia"/>
                                <w:b/>
                                <w:i/>
                                <w:szCs w:val="24"/>
                              </w:rPr>
                              <w:t>Sustainable production of dedicated biomass</w:t>
                            </w:r>
                            <w:r w:rsidRPr="003D631F">
                              <w:rPr>
                                <w:rFonts w:eastAsiaTheme="minorEastAsia"/>
                                <w:szCs w:val="24"/>
                              </w:rPr>
                              <w:t>, for example, in the adoption of practices that improve the sustainability of production such as conservation agriculture, intercropping,</w:t>
                            </w:r>
                            <w:r>
                              <w:rPr>
                                <w:rFonts w:eastAsiaTheme="minorEastAsia"/>
                                <w:szCs w:val="24"/>
                              </w:rPr>
                              <w:t xml:space="preserve"> crop rotation,</w:t>
                            </w:r>
                            <w:r w:rsidRPr="003D631F">
                              <w:rPr>
                                <w:rFonts w:eastAsiaTheme="minorEastAsia"/>
                                <w:szCs w:val="24"/>
                              </w:rPr>
                              <w:t xml:space="preserve"> integrated pest management, etc.; and </w:t>
                            </w:r>
                          </w:p>
                          <w:p w14:paraId="0E2E4B65" w14:textId="211EABA8" w:rsidR="00346410" w:rsidRPr="003D631F" w:rsidRDefault="00346410" w:rsidP="00577D28">
                            <w:pPr>
                              <w:pStyle w:val="ListParagraph"/>
                              <w:numPr>
                                <w:ilvl w:val="0"/>
                                <w:numId w:val="28"/>
                              </w:numPr>
                              <w:spacing w:after="140" w:line="254" w:lineRule="auto"/>
                              <w:rPr>
                                <w:rFonts w:eastAsiaTheme="minorEastAsia"/>
                                <w:szCs w:val="24"/>
                              </w:rPr>
                            </w:pPr>
                            <w:r w:rsidRPr="000821C1">
                              <w:rPr>
                                <w:rFonts w:eastAsiaTheme="minorEastAsia"/>
                                <w:b/>
                                <w:i/>
                                <w:szCs w:val="24"/>
                              </w:rPr>
                              <w:t>Improving the sustainability of food systems with the use of residues and/or wastes</w:t>
                            </w:r>
                            <w:r w:rsidRPr="003D631F">
                              <w:rPr>
                                <w:rFonts w:eastAsiaTheme="minorEastAsia"/>
                                <w:szCs w:val="24"/>
                              </w:rPr>
                              <w:t>, from either production and processing of agricultural products</w:t>
                            </w:r>
                            <w:r>
                              <w:rPr>
                                <w:rFonts w:eastAsiaTheme="minorEastAsia"/>
                                <w:szCs w:val="24"/>
                              </w:rPr>
                              <w:t xml:space="preserve"> and residues,</w:t>
                            </w:r>
                            <w:r w:rsidRPr="003D631F">
                              <w:rPr>
                                <w:rFonts w:eastAsiaTheme="minorEastAsia"/>
                                <w:szCs w:val="24"/>
                              </w:rPr>
                              <w:t xml:space="preserve"> or from food loss and waste at the end of the value chain. Examples of approaches could include the circular use of wastewater, alternative uses of crop residues to avoid burning, and circular use of nutrients and carbon stock.</w:t>
                            </w:r>
                          </w:p>
                          <w:p w14:paraId="210F0EF3" w14:textId="6BD3E03F" w:rsidR="00346410" w:rsidRDefault="004854E3" w:rsidP="00577D28">
                            <w:pPr>
                              <w:spacing w:after="140" w:line="254" w:lineRule="auto"/>
                              <w:rPr>
                                <w:rFonts w:eastAsiaTheme="minorEastAsia"/>
                                <w:szCs w:val="24"/>
                              </w:rPr>
                            </w:pPr>
                            <w:r>
                              <w:rPr>
                                <w:rFonts w:eastAsiaTheme="minorEastAsia"/>
                                <w:szCs w:val="24"/>
                              </w:rPr>
                              <w:t xml:space="preserve">The CSA approach </w:t>
                            </w:r>
                            <w:r w:rsidR="008E1B7E">
                              <w:rPr>
                                <w:rFonts w:eastAsiaTheme="minorEastAsia"/>
                                <w:szCs w:val="24"/>
                              </w:rPr>
                              <w:t xml:space="preserve">also </w:t>
                            </w:r>
                            <w:r>
                              <w:rPr>
                                <w:rFonts w:eastAsiaTheme="minorEastAsia"/>
                                <w:szCs w:val="24"/>
                              </w:rPr>
                              <w:t>include</w:t>
                            </w:r>
                            <w:r w:rsidR="008E1B7E">
                              <w:rPr>
                                <w:rFonts w:eastAsiaTheme="minorEastAsia"/>
                                <w:szCs w:val="24"/>
                              </w:rPr>
                              <w:t>s</w:t>
                            </w:r>
                            <w:r>
                              <w:rPr>
                                <w:rFonts w:eastAsiaTheme="minorEastAsia"/>
                                <w:szCs w:val="24"/>
                              </w:rPr>
                              <w:t xml:space="preserve"> the integration of </w:t>
                            </w:r>
                            <w:r w:rsidR="00346410" w:rsidRPr="000811AC">
                              <w:rPr>
                                <w:rFonts w:eastAsiaTheme="minorEastAsia"/>
                                <w:szCs w:val="24"/>
                              </w:rPr>
                              <w:t xml:space="preserve">bioenergy into </w:t>
                            </w:r>
                            <w:r w:rsidR="00577D28" w:rsidRPr="000811AC">
                              <w:rPr>
                                <w:rFonts w:eastAsiaTheme="minorEastAsia"/>
                                <w:szCs w:val="24"/>
                              </w:rPr>
                              <w:t xml:space="preserve">farming </w:t>
                            </w:r>
                            <w:r w:rsidR="00346410">
                              <w:rPr>
                                <w:rFonts w:eastAsiaTheme="minorEastAsia"/>
                                <w:szCs w:val="24"/>
                              </w:rPr>
                              <w:t>systems</w:t>
                            </w:r>
                            <w:r w:rsidR="00346410" w:rsidRPr="000811AC">
                              <w:rPr>
                                <w:rFonts w:eastAsiaTheme="minorEastAsia"/>
                                <w:szCs w:val="24"/>
                              </w:rPr>
                              <w:t xml:space="preserve"> to improve </w:t>
                            </w:r>
                            <w:r w:rsidR="00346410">
                              <w:rPr>
                                <w:rFonts w:eastAsiaTheme="minorEastAsia"/>
                                <w:szCs w:val="24"/>
                              </w:rPr>
                              <w:t xml:space="preserve">their </w:t>
                            </w:r>
                            <w:r w:rsidR="00346410" w:rsidRPr="000811AC">
                              <w:rPr>
                                <w:rFonts w:eastAsiaTheme="minorEastAsia"/>
                                <w:szCs w:val="24"/>
                              </w:rPr>
                              <w:t xml:space="preserve">sustainability. </w:t>
                            </w:r>
                            <w:r>
                              <w:rPr>
                                <w:rFonts w:eastAsiaTheme="minorEastAsia"/>
                                <w:szCs w:val="24"/>
                              </w:rPr>
                              <w:t>In fact</w:t>
                            </w:r>
                            <w:r w:rsidR="00346410" w:rsidRPr="000811AC">
                              <w:rPr>
                                <w:rFonts w:eastAsiaTheme="minorEastAsia"/>
                                <w:szCs w:val="24"/>
                              </w:rPr>
                              <w:t xml:space="preserve">, when bioenergy is integrated into farming </w:t>
                            </w:r>
                            <w:r w:rsidR="00346410">
                              <w:rPr>
                                <w:rFonts w:eastAsiaTheme="minorEastAsia"/>
                                <w:szCs w:val="24"/>
                              </w:rPr>
                              <w:t>systems</w:t>
                            </w:r>
                            <w:r w:rsidR="00346410" w:rsidRPr="000811AC">
                              <w:rPr>
                                <w:rFonts w:eastAsiaTheme="minorEastAsia"/>
                                <w:szCs w:val="24"/>
                              </w:rPr>
                              <w:t xml:space="preserve"> it </w:t>
                            </w:r>
                            <w:r>
                              <w:rPr>
                                <w:rFonts w:eastAsiaTheme="minorEastAsia"/>
                                <w:szCs w:val="24"/>
                              </w:rPr>
                              <w:t xml:space="preserve">can enhance their efficiency, </w:t>
                            </w:r>
                            <w:r w:rsidR="00346410" w:rsidRPr="000811AC">
                              <w:rPr>
                                <w:rFonts w:eastAsiaTheme="minorEastAsia"/>
                                <w:szCs w:val="24"/>
                              </w:rPr>
                              <w:t>provide</w:t>
                            </w:r>
                            <w:r>
                              <w:rPr>
                                <w:rFonts w:eastAsiaTheme="minorEastAsia"/>
                                <w:szCs w:val="24"/>
                              </w:rPr>
                              <w:t xml:space="preserve"> additional source of income through</w:t>
                            </w:r>
                            <w:r w:rsidR="00346410" w:rsidRPr="000811AC">
                              <w:rPr>
                                <w:rFonts w:eastAsiaTheme="minorEastAsia"/>
                                <w:szCs w:val="24"/>
                              </w:rPr>
                              <w:t xml:space="preserve"> product diversification, increase access to modern energy and reduce impacts of agriculture on climate change. </w:t>
                            </w:r>
                            <w:r w:rsidR="00346410">
                              <w:rPr>
                                <w:rFonts w:eastAsiaTheme="minorEastAsia"/>
                                <w:szCs w:val="24"/>
                              </w:rPr>
                              <w:t>Furthermore</w:t>
                            </w:r>
                            <w:r w:rsidR="00346410" w:rsidRPr="000811AC">
                              <w:rPr>
                                <w:rFonts w:eastAsiaTheme="minorEastAsia"/>
                                <w:szCs w:val="24"/>
                              </w:rPr>
                              <w:t xml:space="preserve">, the bioenergy by-products can also be used as </w:t>
                            </w:r>
                            <w:r w:rsidR="00346410">
                              <w:rPr>
                                <w:rFonts w:eastAsiaTheme="minorEastAsia"/>
                                <w:szCs w:val="24"/>
                              </w:rPr>
                              <w:t xml:space="preserve">an </w:t>
                            </w:r>
                            <w:r w:rsidR="00346410" w:rsidRPr="000811AC">
                              <w:rPr>
                                <w:rFonts w:eastAsiaTheme="minorEastAsia"/>
                                <w:szCs w:val="24"/>
                              </w:rPr>
                              <w:t xml:space="preserve">additional source of energy or returned to the soil to recycle nutrients and also capture and store carbon. This means that the capacity of the farming system to adapt to and mitigate climate change is improved. So the use of bioenergy in farming </w:t>
                            </w:r>
                            <w:r w:rsidR="00346410">
                              <w:rPr>
                                <w:rFonts w:eastAsiaTheme="minorEastAsia"/>
                                <w:szCs w:val="24"/>
                              </w:rPr>
                              <w:t>systems</w:t>
                            </w:r>
                            <w:r w:rsidR="00346410" w:rsidRPr="000811AC">
                              <w:rPr>
                                <w:rFonts w:eastAsiaTheme="minorEastAsia"/>
                                <w:szCs w:val="24"/>
                              </w:rPr>
                              <w:t xml:space="preserve"> can </w:t>
                            </w:r>
                            <w:r>
                              <w:rPr>
                                <w:rFonts w:eastAsiaTheme="minorEastAsia"/>
                                <w:szCs w:val="24"/>
                              </w:rPr>
                              <w:t xml:space="preserve">ultimately </w:t>
                            </w:r>
                            <w:r w:rsidR="00346410" w:rsidRPr="000811AC">
                              <w:rPr>
                                <w:rFonts w:eastAsiaTheme="minorEastAsia"/>
                                <w:szCs w:val="24"/>
                              </w:rPr>
                              <w:t xml:space="preserve">increase the </w:t>
                            </w:r>
                            <w:r>
                              <w:rPr>
                                <w:rFonts w:eastAsiaTheme="minorEastAsia"/>
                                <w:szCs w:val="24"/>
                              </w:rPr>
                              <w:t>sustainability</w:t>
                            </w:r>
                            <w:r w:rsidR="00346410" w:rsidRPr="000811AC">
                              <w:rPr>
                                <w:rFonts w:eastAsiaTheme="minorEastAsia"/>
                                <w:szCs w:val="24"/>
                              </w:rPr>
                              <w:t xml:space="preserve"> of agri-food </w:t>
                            </w:r>
                            <w:r w:rsidR="00346410">
                              <w:rPr>
                                <w:rFonts w:eastAsiaTheme="minorEastAsia"/>
                                <w:szCs w:val="24"/>
                              </w:rPr>
                              <w:t>value chains,</w:t>
                            </w:r>
                            <w:r w:rsidR="00346410" w:rsidRPr="000811AC">
                              <w:rPr>
                                <w:rFonts w:eastAsiaTheme="minorEastAsia"/>
                                <w:szCs w:val="24"/>
                              </w:rPr>
                              <w:t xml:space="preserve"> and improve livelihoods and food security.</w:t>
                            </w:r>
                            <w:r w:rsidR="00346410">
                              <w:rPr>
                                <w:rFonts w:eastAsiaTheme="minorEastAsia"/>
                                <w:szCs w:val="24"/>
                              </w:rPr>
                              <w:t xml:space="preserve"> </w:t>
                            </w:r>
                          </w:p>
                          <w:p w14:paraId="203649E0" w14:textId="01F682EE" w:rsidR="00346410" w:rsidRPr="00577D28" w:rsidRDefault="00346410" w:rsidP="00577D28">
                            <w:pPr>
                              <w:spacing w:after="140" w:line="254" w:lineRule="auto"/>
                              <w:rPr>
                                <w:rFonts w:eastAsiaTheme="minorEastAsia"/>
                                <w:szCs w:val="24"/>
                              </w:rPr>
                            </w:pPr>
                            <w:r w:rsidRPr="00577D28">
                              <w:rPr>
                                <w:rFonts w:eastAsiaTheme="minorEastAsia"/>
                                <w:szCs w:val="24"/>
                              </w:rPr>
                              <w:t>A more detailed list of CSA practices and a discussion of their impacts on sustainability can be found in Chapter 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 w14:anchorId="41041F10" id="Text Box 2" o:spid="_x0000_s1032" type="#_x0000_t202" style="position:absolute;left:0;text-align:left;margin-left:0;margin-top:14.25pt;width:480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">
                <v:textbox style="mso-fit-shape-to-text:t">
                  <w:txbxContent>
                    <w:p w14:paraId="28F1028D" w14:textId="7C36109D" w:rsidR="00346410" w:rsidRPr="000821C1" w:rsidRDefault="00346410" w:rsidP="00577D28">
                      <w:pPr>
                        <w:spacing w:after="140" w:line="254" w:lineRule="auto"/>
                        <w:rPr>
                          <w:rFonts w:eastAsiaTheme="minorEastAsia"/>
                          <w:b/>
                          <w:szCs w:val="24"/>
                          <w:u w:val="single"/>
                        </w:rPr>
                      </w:pPr>
                      <w:r w:rsidRPr="000821C1">
                        <w:rPr>
                          <w:rFonts w:eastAsiaTheme="minorEastAsia"/>
                          <w:b/>
                          <w:szCs w:val="24"/>
                          <w:u w:val="single"/>
                        </w:rPr>
                        <w:t>Box 1 – Safeguards and good practices for sustainable bioenergy</w:t>
                      </w:r>
                      <w:r>
                        <w:rPr>
                          <w:rFonts w:eastAsiaTheme="minorEastAsia"/>
                          <w:b/>
                          <w:szCs w:val="24"/>
                          <w:u w:val="single"/>
                        </w:rPr>
                        <w:t>: the Climate-Smart Agriculture approach</w:t>
                      </w:r>
                    </w:p>
                    <w:p w14:paraId="69E5C99D" w14:textId="7BA39E68" w:rsidR="00346410" w:rsidRDefault="00346410" w:rsidP="00577D28">
                      <w:pPr>
                        <w:spacing w:after="140" w:line="254" w:lineRule="auto"/>
                        <w:rPr>
                          <w:rFonts w:eastAsiaTheme="minorEastAsia"/>
                          <w:szCs w:val="24"/>
                        </w:rPr>
                      </w:pPr>
                      <w:r>
                        <w:rPr>
                          <w:rFonts w:eastAsiaTheme="minorEastAsia"/>
                          <w:szCs w:val="24"/>
                        </w:rPr>
                        <w:t xml:space="preserve">The monitoring of the level of uptake – and its change over time – of </w:t>
                      </w:r>
                      <w:r w:rsidRPr="000821C1">
                        <w:rPr>
                          <w:rFonts w:eastAsiaTheme="minorEastAsia"/>
                          <w:b/>
                          <w:i/>
                          <w:szCs w:val="24"/>
                        </w:rPr>
                        <w:t>climate</w:t>
                      </w:r>
                      <w:r>
                        <w:rPr>
                          <w:rFonts w:eastAsiaTheme="minorEastAsia"/>
                          <w:b/>
                          <w:i/>
                          <w:szCs w:val="24"/>
                        </w:rPr>
                        <w:t>-</w:t>
                      </w:r>
                      <w:r w:rsidRPr="000821C1">
                        <w:rPr>
                          <w:rFonts w:eastAsiaTheme="minorEastAsia"/>
                          <w:b/>
                          <w:i/>
                          <w:szCs w:val="24"/>
                        </w:rPr>
                        <w:t>smart agriculture (CSA) practices</w:t>
                      </w:r>
                      <w:r>
                        <w:rPr>
                          <w:rFonts w:eastAsiaTheme="minorEastAsia"/>
                          <w:szCs w:val="24"/>
                        </w:rPr>
                        <w:t>, along with other safeguards and good practices, can provide a preliminary indication of the sustainability of biomass supply.</w:t>
                      </w:r>
                    </w:p>
                    <w:p w14:paraId="2F7485A5" w14:textId="1995D547" w:rsidR="00346410" w:rsidRPr="000811AC" w:rsidRDefault="00346410" w:rsidP="00577D28">
                      <w:pPr>
                        <w:spacing w:after="140" w:line="254" w:lineRule="auto"/>
                        <w:rPr>
                          <w:rFonts w:eastAsiaTheme="minorEastAsia"/>
                          <w:szCs w:val="24"/>
                        </w:rPr>
                      </w:pPr>
                      <w:r w:rsidRPr="000811AC">
                        <w:rPr>
                          <w:rFonts w:eastAsiaTheme="minorEastAsia"/>
                          <w:szCs w:val="24"/>
                        </w:rPr>
                        <w:t xml:space="preserve">Some of the main objectives of CSA are to sustainably increase agricultural productivity and to reduce GHG emissions, whilst adapting and building resilience to climate change. These are also objectives that are important for the production of feedstock for sustainable bioenergy production. This approach is therefore beneficial to mainstream into bioenergy systems. There are two cases where this approach could be applied: </w:t>
                      </w:r>
                    </w:p>
                    <w:p w14:paraId="2437DD37" w14:textId="296D9668" w:rsidR="00346410" w:rsidRPr="003D631F" w:rsidRDefault="00346410" w:rsidP="00577D28">
                      <w:pPr>
                        <w:pStyle w:val="ListParagraph"/>
                        <w:numPr>
                          <w:ilvl w:val="0"/>
                          <w:numId w:val="28"/>
                        </w:numPr>
                        <w:spacing w:after="140" w:line="254" w:lineRule="auto"/>
                        <w:rPr>
                          <w:rFonts w:eastAsiaTheme="minorEastAsia"/>
                          <w:szCs w:val="24"/>
                        </w:rPr>
                      </w:pPr>
                      <w:r w:rsidRPr="000821C1">
                        <w:rPr>
                          <w:rFonts w:eastAsiaTheme="minorEastAsia"/>
                          <w:b/>
                          <w:i/>
                          <w:szCs w:val="24"/>
                        </w:rPr>
                        <w:t>Sustainable production of dedicated biomass</w:t>
                      </w:r>
                      <w:r w:rsidRPr="003D631F">
                        <w:rPr>
                          <w:rFonts w:eastAsiaTheme="minorEastAsia"/>
                          <w:szCs w:val="24"/>
                        </w:rPr>
                        <w:t>, for example, in the adoption of practices that improve the sustainability of production such as conservation agriculture, intercropping,</w:t>
                      </w:r>
                      <w:r>
                        <w:rPr>
                          <w:rFonts w:eastAsiaTheme="minorEastAsia"/>
                          <w:szCs w:val="24"/>
                        </w:rPr>
                        <w:t xml:space="preserve"> crop rotation,</w:t>
                      </w:r>
                      <w:r w:rsidRPr="003D631F">
                        <w:rPr>
                          <w:rFonts w:eastAsiaTheme="minorEastAsia"/>
                          <w:szCs w:val="24"/>
                        </w:rPr>
                        <w:t xml:space="preserve"> integrated pest management, etc.; and </w:t>
                      </w:r>
                    </w:p>
                    <w:p w14:paraId="0E2E4B65" w14:textId="211EABA8" w:rsidR="00346410" w:rsidRPr="003D631F" w:rsidRDefault="00346410" w:rsidP="00577D28">
                      <w:pPr>
                        <w:pStyle w:val="ListParagraph"/>
                        <w:numPr>
                          <w:ilvl w:val="0"/>
                          <w:numId w:val="28"/>
                        </w:numPr>
                        <w:spacing w:after="140" w:line="254" w:lineRule="auto"/>
                        <w:rPr>
                          <w:rFonts w:eastAsiaTheme="minorEastAsia"/>
                          <w:szCs w:val="24"/>
                        </w:rPr>
                      </w:pPr>
                      <w:r w:rsidRPr="000821C1">
                        <w:rPr>
                          <w:rFonts w:eastAsiaTheme="minorEastAsia"/>
                          <w:b/>
                          <w:i/>
                          <w:szCs w:val="24"/>
                        </w:rPr>
                        <w:t>Improving the sustainability of food systems with the use of residues and/or wastes</w:t>
                      </w:r>
                      <w:r w:rsidRPr="003D631F">
                        <w:rPr>
                          <w:rFonts w:eastAsiaTheme="minorEastAsia"/>
                          <w:szCs w:val="24"/>
                        </w:rPr>
                        <w:t>, from either production and processing of agricultural products</w:t>
                      </w:r>
                      <w:r>
                        <w:rPr>
                          <w:rFonts w:eastAsiaTheme="minorEastAsia"/>
                          <w:szCs w:val="24"/>
                        </w:rPr>
                        <w:t xml:space="preserve"> and residues,</w:t>
                      </w:r>
                      <w:r w:rsidRPr="003D631F">
                        <w:rPr>
                          <w:rFonts w:eastAsiaTheme="minorEastAsia"/>
                          <w:szCs w:val="24"/>
                        </w:rPr>
                        <w:t xml:space="preserve"> or from food loss and waste at the end of the value chain. Examples of approaches could include the circular use of wastewater, alternative uses of crop residues to avoid burning, and circular use of nutrients and carbon stock.</w:t>
                      </w:r>
                    </w:p>
                    <w:p w14:paraId="210F0EF3" w14:textId="6BD3E03F" w:rsidR="00346410" w:rsidRDefault="004854E3" w:rsidP="00577D28">
                      <w:pPr>
                        <w:spacing w:after="140" w:line="254" w:lineRule="auto"/>
                        <w:rPr>
                          <w:rFonts w:eastAsiaTheme="minorEastAsia"/>
                          <w:szCs w:val="24"/>
                        </w:rPr>
                      </w:pPr>
                      <w:r>
                        <w:rPr>
                          <w:rFonts w:eastAsiaTheme="minorEastAsia"/>
                          <w:szCs w:val="24"/>
                        </w:rPr>
                        <w:t xml:space="preserve">The CSA approach </w:t>
                      </w:r>
                      <w:r w:rsidR="008E1B7E">
                        <w:rPr>
                          <w:rFonts w:eastAsiaTheme="minorEastAsia"/>
                          <w:szCs w:val="24"/>
                        </w:rPr>
                        <w:t xml:space="preserve">also </w:t>
                      </w:r>
                      <w:r>
                        <w:rPr>
                          <w:rFonts w:eastAsiaTheme="minorEastAsia"/>
                          <w:szCs w:val="24"/>
                        </w:rPr>
                        <w:t>include</w:t>
                      </w:r>
                      <w:r w:rsidR="008E1B7E">
                        <w:rPr>
                          <w:rFonts w:eastAsiaTheme="minorEastAsia"/>
                          <w:szCs w:val="24"/>
                        </w:rPr>
                        <w:t>s</w:t>
                      </w:r>
                      <w:r>
                        <w:rPr>
                          <w:rFonts w:eastAsiaTheme="minorEastAsia"/>
                          <w:szCs w:val="24"/>
                        </w:rPr>
                        <w:t xml:space="preserve"> the integration of </w:t>
                      </w:r>
                      <w:r w:rsidR="00346410" w:rsidRPr="000811AC">
                        <w:rPr>
                          <w:rFonts w:eastAsiaTheme="minorEastAsia"/>
                          <w:szCs w:val="24"/>
                        </w:rPr>
                        <w:t xml:space="preserve">bioenergy into </w:t>
                      </w:r>
                      <w:r w:rsidR="00577D28" w:rsidRPr="000811AC">
                        <w:rPr>
                          <w:rFonts w:eastAsiaTheme="minorEastAsia"/>
                          <w:szCs w:val="24"/>
                        </w:rPr>
                        <w:t xml:space="preserve">farming </w:t>
                      </w:r>
                      <w:r w:rsidR="00346410">
                        <w:rPr>
                          <w:rFonts w:eastAsiaTheme="minorEastAsia"/>
                          <w:szCs w:val="24"/>
                        </w:rPr>
                        <w:t>systems</w:t>
                      </w:r>
                      <w:r w:rsidR="00346410" w:rsidRPr="000811AC">
                        <w:rPr>
                          <w:rFonts w:eastAsiaTheme="minorEastAsia"/>
                          <w:szCs w:val="24"/>
                        </w:rPr>
                        <w:t xml:space="preserve"> to improve </w:t>
                      </w:r>
                      <w:r w:rsidR="00346410">
                        <w:rPr>
                          <w:rFonts w:eastAsiaTheme="minorEastAsia"/>
                          <w:szCs w:val="24"/>
                        </w:rPr>
                        <w:t xml:space="preserve">their </w:t>
                      </w:r>
                      <w:r w:rsidR="00346410" w:rsidRPr="000811AC">
                        <w:rPr>
                          <w:rFonts w:eastAsiaTheme="minorEastAsia"/>
                          <w:szCs w:val="24"/>
                        </w:rPr>
                        <w:t xml:space="preserve">sustainability. </w:t>
                      </w:r>
                      <w:r>
                        <w:rPr>
                          <w:rFonts w:eastAsiaTheme="minorEastAsia"/>
                          <w:szCs w:val="24"/>
                        </w:rPr>
                        <w:t>In fact</w:t>
                      </w:r>
                      <w:r w:rsidR="00346410" w:rsidRPr="000811AC">
                        <w:rPr>
                          <w:rFonts w:eastAsiaTheme="minorEastAsia"/>
                          <w:szCs w:val="24"/>
                        </w:rPr>
                        <w:t xml:space="preserve">, when bioenergy is integrated into farming </w:t>
                      </w:r>
                      <w:r w:rsidR="00346410">
                        <w:rPr>
                          <w:rFonts w:eastAsiaTheme="minorEastAsia"/>
                          <w:szCs w:val="24"/>
                        </w:rPr>
                        <w:t>systems</w:t>
                      </w:r>
                      <w:r w:rsidR="00346410" w:rsidRPr="000811AC">
                        <w:rPr>
                          <w:rFonts w:eastAsiaTheme="minorEastAsia"/>
                          <w:szCs w:val="24"/>
                        </w:rPr>
                        <w:t xml:space="preserve"> it </w:t>
                      </w:r>
                      <w:r>
                        <w:rPr>
                          <w:rFonts w:eastAsiaTheme="minorEastAsia"/>
                          <w:szCs w:val="24"/>
                        </w:rPr>
                        <w:t xml:space="preserve">can enhance their efficiency, </w:t>
                      </w:r>
                      <w:r w:rsidR="00346410" w:rsidRPr="000811AC">
                        <w:rPr>
                          <w:rFonts w:eastAsiaTheme="minorEastAsia"/>
                          <w:szCs w:val="24"/>
                        </w:rPr>
                        <w:t>provide</w:t>
                      </w:r>
                      <w:r>
                        <w:rPr>
                          <w:rFonts w:eastAsiaTheme="minorEastAsia"/>
                          <w:szCs w:val="24"/>
                        </w:rPr>
                        <w:t xml:space="preserve"> additional source of income through</w:t>
                      </w:r>
                      <w:r w:rsidR="00346410" w:rsidRPr="000811AC">
                        <w:rPr>
                          <w:rFonts w:eastAsiaTheme="minorEastAsia"/>
                          <w:szCs w:val="24"/>
                        </w:rPr>
                        <w:t xml:space="preserve"> product diversification, increase access to modern energy and reduce impacts of agriculture on climate change. </w:t>
                      </w:r>
                      <w:r w:rsidR="00346410">
                        <w:rPr>
                          <w:rFonts w:eastAsiaTheme="minorEastAsia"/>
                          <w:szCs w:val="24"/>
                        </w:rPr>
                        <w:t>Furthermore</w:t>
                      </w:r>
                      <w:r w:rsidR="00346410" w:rsidRPr="000811AC">
                        <w:rPr>
                          <w:rFonts w:eastAsiaTheme="minorEastAsia"/>
                          <w:szCs w:val="24"/>
                        </w:rPr>
                        <w:t xml:space="preserve">, the bioenergy by-products can also be used as </w:t>
                      </w:r>
                      <w:r w:rsidR="00346410">
                        <w:rPr>
                          <w:rFonts w:eastAsiaTheme="minorEastAsia"/>
                          <w:szCs w:val="24"/>
                        </w:rPr>
                        <w:t xml:space="preserve">an </w:t>
                      </w:r>
                      <w:r w:rsidR="00346410" w:rsidRPr="000811AC">
                        <w:rPr>
                          <w:rFonts w:eastAsiaTheme="minorEastAsia"/>
                          <w:szCs w:val="24"/>
                        </w:rPr>
                        <w:t xml:space="preserve">additional source of energy or returned to the soil to recycle nutrients and also capture and store carbon. This means that the capacity of the farming system to adapt to and mitigate climate change is improved. So the use of bioenergy in farming </w:t>
                      </w:r>
                      <w:r w:rsidR="00346410">
                        <w:rPr>
                          <w:rFonts w:eastAsiaTheme="minorEastAsia"/>
                          <w:szCs w:val="24"/>
                        </w:rPr>
                        <w:t>systems</w:t>
                      </w:r>
                      <w:r w:rsidR="00346410" w:rsidRPr="000811AC">
                        <w:rPr>
                          <w:rFonts w:eastAsiaTheme="minorEastAsia"/>
                          <w:szCs w:val="24"/>
                        </w:rPr>
                        <w:t xml:space="preserve"> can </w:t>
                      </w:r>
                      <w:r>
                        <w:rPr>
                          <w:rFonts w:eastAsiaTheme="minorEastAsia"/>
                          <w:szCs w:val="24"/>
                        </w:rPr>
                        <w:t xml:space="preserve">ultimately </w:t>
                      </w:r>
                      <w:r w:rsidR="00346410" w:rsidRPr="000811AC">
                        <w:rPr>
                          <w:rFonts w:eastAsiaTheme="minorEastAsia"/>
                          <w:szCs w:val="24"/>
                        </w:rPr>
                        <w:t xml:space="preserve">increase the </w:t>
                      </w:r>
                      <w:r>
                        <w:rPr>
                          <w:rFonts w:eastAsiaTheme="minorEastAsia"/>
                          <w:szCs w:val="24"/>
                        </w:rPr>
                        <w:t>sustainability</w:t>
                      </w:r>
                      <w:r w:rsidR="00346410" w:rsidRPr="000811AC">
                        <w:rPr>
                          <w:rFonts w:eastAsiaTheme="minorEastAsia"/>
                          <w:szCs w:val="24"/>
                        </w:rPr>
                        <w:t xml:space="preserve"> of agri-food </w:t>
                      </w:r>
                      <w:r w:rsidR="00346410">
                        <w:rPr>
                          <w:rFonts w:eastAsiaTheme="minorEastAsia"/>
                          <w:szCs w:val="24"/>
                        </w:rPr>
                        <w:t>value chains,</w:t>
                      </w:r>
                      <w:r w:rsidR="00346410" w:rsidRPr="000811AC">
                        <w:rPr>
                          <w:rFonts w:eastAsiaTheme="minorEastAsia"/>
                          <w:szCs w:val="24"/>
                        </w:rPr>
                        <w:t xml:space="preserve"> and improve livelihoods and food security.</w:t>
                      </w:r>
                      <w:r w:rsidR="00346410">
                        <w:rPr>
                          <w:rFonts w:eastAsiaTheme="minorEastAsia"/>
                          <w:szCs w:val="24"/>
                        </w:rPr>
                        <w:t xml:space="preserve"> </w:t>
                      </w:r>
                    </w:p>
                    <w:p w14:paraId="203649E0" w14:textId="01F682EE" w:rsidR="00346410" w:rsidRPr="00577D28" w:rsidRDefault="00346410" w:rsidP="00577D28">
                      <w:pPr>
                        <w:spacing w:after="140" w:line="254" w:lineRule="auto"/>
                        <w:rPr>
                          <w:rFonts w:eastAsiaTheme="minorEastAsia"/>
                          <w:szCs w:val="24"/>
                        </w:rPr>
                      </w:pPr>
                      <w:r w:rsidRPr="00577D28">
                        <w:rPr>
                          <w:rFonts w:eastAsiaTheme="minorEastAsia"/>
                          <w:szCs w:val="24"/>
                        </w:rPr>
                        <w:t>A more detailed list of CSA practices and a discussion of their impacts on sustainability can be found in Chapter 7.</w:t>
                      </w:r>
                    </w:p>
                  </w:txbxContent>
                </v:textbox>
                <w10:wrap type="square" anchorx="margin"/>
              </v:shape>
            </w:pict>
          </mc:Fallback>
        </mc:AlternateContent>
      </w:r>
    </w:p>
    <w:sectPr w:rsidR="000450F5" w:rsidRPr="001755A9" w:rsidSect="005B5FCC">
      <w:footerReference w:type="default" r:id="rId17"/>
      <w:pgSz w:w="12240" w:h="15840"/>
      <w:pgMar w:top="1440" w:right="1440" w:bottom="1440" w:left="1440" w:header="720" w:footer="720" w:gutter="0"/>
      <w:pgNumType w:start="1"/>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2C859" w16cex:dateUtc="2021-11-08T00:49:00Z"/>
  <w16cex:commentExtensible w16cex:durableId="252E703D" w16cex:dateUtc="2021-11-04T13:44:00Z"/>
  <w16cex:commentExtensible w16cex:durableId="252E807A" w16cex:dateUtc="2021-11-04T14:53:00Z"/>
  <w16cex:commentExtensible w16cex:durableId="2532A125" w16cex:dateUtc="2021-11-07T22:01:00Z"/>
  <w16cex:commentExtensible w16cex:durableId="2532AB8D" w16cex:dateUtc="2021-11-07T22:46:00Z"/>
  <w16cex:commentExtensible w16cex:durableId="2532B011" w16cex:dateUtc="2021-11-07T23:05:00Z"/>
  <w16cex:commentExtensible w16cex:durableId="2532B09E" w16cex:dateUtc="2021-11-07T23: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F335697" w16cid:durableId="2532C859"/>
  <w16cid:commentId w16cid:paraId="086911BA" w16cid:durableId="252E703D"/>
  <w16cid:commentId w16cid:paraId="507F37C7" w16cid:durableId="252E807A"/>
  <w16cid:commentId w16cid:paraId="0D4485C0" w16cid:durableId="2532A125"/>
  <w16cid:commentId w16cid:paraId="4841C5C9" w16cid:durableId="253392E6"/>
  <w16cid:commentId w16cid:paraId="7C0F01DF" w16cid:durableId="2532AB8D"/>
  <w16cid:commentId w16cid:paraId="39F594FB" w16cid:durableId="2532B011"/>
  <w16cid:commentId w16cid:paraId="6BFE8C7F" w16cid:durableId="2532B09E"/>
  <w16cid:commentId w16cid:paraId="182469BB" w16cid:durableId="253392EA"/>
  <w16cid:commentId w16cid:paraId="35337114" w16cid:durableId="253392EB"/>
  <w16cid:commentId w16cid:paraId="5F9CA11C" w16cid:durableId="253392E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8FA9D6" w14:textId="77777777" w:rsidR="00346410" w:rsidRDefault="00346410" w:rsidP="004D3574">
      <w:pPr>
        <w:spacing w:after="0" w:line="240" w:lineRule="auto"/>
      </w:pPr>
      <w:r>
        <w:separator/>
      </w:r>
    </w:p>
  </w:endnote>
  <w:endnote w:type="continuationSeparator" w:id="0">
    <w:p w14:paraId="4365849A" w14:textId="77777777" w:rsidR="00346410" w:rsidRDefault="00346410" w:rsidP="004D3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9A24B" w14:textId="1D3BCA73" w:rsidR="00346410" w:rsidRDefault="00346410">
    <w:pPr>
      <w:pStyle w:val="Footer"/>
      <w:jc w:val="right"/>
    </w:pPr>
  </w:p>
  <w:p w14:paraId="7F405695" w14:textId="77777777" w:rsidR="00346410" w:rsidRDefault="0034641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9667082"/>
      <w:docPartObj>
        <w:docPartGallery w:val="Page Numbers (Bottom of Page)"/>
        <w:docPartUnique/>
      </w:docPartObj>
    </w:sdtPr>
    <w:sdtEndPr>
      <w:rPr>
        <w:noProof/>
      </w:rPr>
    </w:sdtEndPr>
    <w:sdtContent>
      <w:p w14:paraId="06CDFEE6" w14:textId="283D9782" w:rsidR="005B5FCC" w:rsidRDefault="005B5FCC">
        <w:pPr>
          <w:pStyle w:val="Footer"/>
          <w:jc w:val="right"/>
        </w:pPr>
        <w:r>
          <w:fldChar w:fldCharType="begin"/>
        </w:r>
        <w:r>
          <w:instrText xml:space="preserve"> PAGE   \* MERGEFORMAT </w:instrText>
        </w:r>
        <w:r>
          <w:fldChar w:fldCharType="separate"/>
        </w:r>
        <w:r w:rsidR="00633095">
          <w:rPr>
            <w:noProof/>
          </w:rPr>
          <w:t>1</w:t>
        </w:r>
        <w:r>
          <w:rPr>
            <w:noProof/>
          </w:rPr>
          <w:fldChar w:fldCharType="end"/>
        </w:r>
      </w:p>
    </w:sdtContent>
  </w:sdt>
  <w:p w14:paraId="27B86E2F" w14:textId="77777777" w:rsidR="005B5FCC" w:rsidRDefault="005B5FC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2116F1" w14:textId="77777777" w:rsidR="00346410" w:rsidRDefault="00346410" w:rsidP="004D3574">
      <w:pPr>
        <w:spacing w:after="0" w:line="240" w:lineRule="auto"/>
      </w:pPr>
      <w:r>
        <w:separator/>
      </w:r>
    </w:p>
  </w:footnote>
  <w:footnote w:type="continuationSeparator" w:id="0">
    <w:p w14:paraId="01BBF880" w14:textId="77777777" w:rsidR="00346410" w:rsidRDefault="00346410" w:rsidP="004D35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01975"/>
    <w:multiLevelType w:val="multilevel"/>
    <w:tmpl w:val="CB10AC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9550C7"/>
    <w:multiLevelType w:val="hybridMultilevel"/>
    <w:tmpl w:val="4614E50E"/>
    <w:lvl w:ilvl="0" w:tplc="87204354">
      <w:start w:val="3"/>
      <w:numFmt w:val="bullet"/>
      <w:lvlText w:val="-"/>
      <w:lvlJc w:val="left"/>
      <w:pPr>
        <w:ind w:left="2340" w:hanging="360"/>
      </w:pPr>
      <w:rPr>
        <w:rFonts w:ascii="Calibri" w:eastAsiaTheme="minorHAnsi" w:hAnsi="Calibri" w:cs="Calibri" w:hint="default"/>
      </w:rPr>
    </w:lvl>
    <w:lvl w:ilvl="1" w:tplc="04090003">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 w15:restartNumberingAfterBreak="0">
    <w:nsid w:val="07340F8A"/>
    <w:multiLevelType w:val="hybridMultilevel"/>
    <w:tmpl w:val="1E5E83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9650C7"/>
    <w:multiLevelType w:val="hybridMultilevel"/>
    <w:tmpl w:val="3968C520"/>
    <w:lvl w:ilvl="0" w:tplc="CF1E4C82">
      <w:start w:val="1"/>
      <w:numFmt w:val="bullet"/>
      <w:lvlText w:val=""/>
      <w:lvlJc w:val="left"/>
      <w:pPr>
        <w:tabs>
          <w:tab w:val="num" w:pos="720"/>
        </w:tabs>
        <w:ind w:left="720" w:hanging="360"/>
      </w:pPr>
      <w:rPr>
        <w:rFonts w:ascii="Symbol" w:hAnsi="Symbol" w:hint="default"/>
      </w:rPr>
    </w:lvl>
    <w:lvl w:ilvl="1" w:tplc="A62A20A6" w:tentative="1">
      <w:start w:val="1"/>
      <w:numFmt w:val="bullet"/>
      <w:lvlText w:val=""/>
      <w:lvlJc w:val="left"/>
      <w:pPr>
        <w:tabs>
          <w:tab w:val="num" w:pos="1440"/>
        </w:tabs>
        <w:ind w:left="1440" w:hanging="360"/>
      </w:pPr>
      <w:rPr>
        <w:rFonts w:ascii="Symbol" w:hAnsi="Symbol" w:hint="default"/>
      </w:rPr>
    </w:lvl>
    <w:lvl w:ilvl="2" w:tplc="0278EF2E" w:tentative="1">
      <w:start w:val="1"/>
      <w:numFmt w:val="bullet"/>
      <w:lvlText w:val=""/>
      <w:lvlJc w:val="left"/>
      <w:pPr>
        <w:tabs>
          <w:tab w:val="num" w:pos="2160"/>
        </w:tabs>
        <w:ind w:left="2160" w:hanging="360"/>
      </w:pPr>
      <w:rPr>
        <w:rFonts w:ascii="Symbol" w:hAnsi="Symbol" w:hint="default"/>
      </w:rPr>
    </w:lvl>
    <w:lvl w:ilvl="3" w:tplc="606C9AEC" w:tentative="1">
      <w:start w:val="1"/>
      <w:numFmt w:val="bullet"/>
      <w:lvlText w:val=""/>
      <w:lvlJc w:val="left"/>
      <w:pPr>
        <w:tabs>
          <w:tab w:val="num" w:pos="2880"/>
        </w:tabs>
        <w:ind w:left="2880" w:hanging="360"/>
      </w:pPr>
      <w:rPr>
        <w:rFonts w:ascii="Symbol" w:hAnsi="Symbol" w:hint="default"/>
      </w:rPr>
    </w:lvl>
    <w:lvl w:ilvl="4" w:tplc="EFD2DD70" w:tentative="1">
      <w:start w:val="1"/>
      <w:numFmt w:val="bullet"/>
      <w:lvlText w:val=""/>
      <w:lvlJc w:val="left"/>
      <w:pPr>
        <w:tabs>
          <w:tab w:val="num" w:pos="3600"/>
        </w:tabs>
        <w:ind w:left="3600" w:hanging="360"/>
      </w:pPr>
      <w:rPr>
        <w:rFonts w:ascii="Symbol" w:hAnsi="Symbol" w:hint="default"/>
      </w:rPr>
    </w:lvl>
    <w:lvl w:ilvl="5" w:tplc="BFD27038" w:tentative="1">
      <w:start w:val="1"/>
      <w:numFmt w:val="bullet"/>
      <w:lvlText w:val=""/>
      <w:lvlJc w:val="left"/>
      <w:pPr>
        <w:tabs>
          <w:tab w:val="num" w:pos="4320"/>
        </w:tabs>
        <w:ind w:left="4320" w:hanging="360"/>
      </w:pPr>
      <w:rPr>
        <w:rFonts w:ascii="Symbol" w:hAnsi="Symbol" w:hint="default"/>
      </w:rPr>
    </w:lvl>
    <w:lvl w:ilvl="6" w:tplc="86E21848" w:tentative="1">
      <w:start w:val="1"/>
      <w:numFmt w:val="bullet"/>
      <w:lvlText w:val=""/>
      <w:lvlJc w:val="left"/>
      <w:pPr>
        <w:tabs>
          <w:tab w:val="num" w:pos="5040"/>
        </w:tabs>
        <w:ind w:left="5040" w:hanging="360"/>
      </w:pPr>
      <w:rPr>
        <w:rFonts w:ascii="Symbol" w:hAnsi="Symbol" w:hint="default"/>
      </w:rPr>
    </w:lvl>
    <w:lvl w:ilvl="7" w:tplc="051A1BF0" w:tentative="1">
      <w:start w:val="1"/>
      <w:numFmt w:val="bullet"/>
      <w:lvlText w:val=""/>
      <w:lvlJc w:val="left"/>
      <w:pPr>
        <w:tabs>
          <w:tab w:val="num" w:pos="5760"/>
        </w:tabs>
        <w:ind w:left="5760" w:hanging="360"/>
      </w:pPr>
      <w:rPr>
        <w:rFonts w:ascii="Symbol" w:hAnsi="Symbol" w:hint="default"/>
      </w:rPr>
    </w:lvl>
    <w:lvl w:ilvl="8" w:tplc="4B72AC9E"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0FF55BDB"/>
    <w:multiLevelType w:val="hybridMultilevel"/>
    <w:tmpl w:val="5E02E57E"/>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6B47E6"/>
    <w:multiLevelType w:val="hybridMultilevel"/>
    <w:tmpl w:val="5760602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37105DE"/>
    <w:multiLevelType w:val="hybridMultilevel"/>
    <w:tmpl w:val="881651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3CF238B"/>
    <w:multiLevelType w:val="hybridMultilevel"/>
    <w:tmpl w:val="AA8EBC72"/>
    <w:lvl w:ilvl="0" w:tplc="D8ACBF9A">
      <w:start w:val="1"/>
      <w:numFmt w:val="bullet"/>
      <w:lvlText w:val="•"/>
      <w:lvlJc w:val="left"/>
      <w:pPr>
        <w:tabs>
          <w:tab w:val="num" w:pos="360"/>
        </w:tabs>
        <w:ind w:left="360" w:hanging="360"/>
      </w:pPr>
      <w:rPr>
        <w:rFonts w:ascii="Arial" w:hAnsi="Arial" w:hint="default"/>
      </w:rPr>
    </w:lvl>
    <w:lvl w:ilvl="1" w:tplc="F9B434D8">
      <w:start w:val="1"/>
      <w:numFmt w:val="bullet"/>
      <w:lvlText w:val="•"/>
      <w:lvlJc w:val="left"/>
      <w:pPr>
        <w:tabs>
          <w:tab w:val="num" w:pos="1080"/>
        </w:tabs>
        <w:ind w:left="1080" w:hanging="360"/>
      </w:pPr>
      <w:rPr>
        <w:rFonts w:ascii="Arial" w:hAnsi="Arial" w:hint="default"/>
      </w:rPr>
    </w:lvl>
    <w:lvl w:ilvl="2" w:tplc="9738B562" w:tentative="1">
      <w:start w:val="1"/>
      <w:numFmt w:val="bullet"/>
      <w:lvlText w:val="•"/>
      <w:lvlJc w:val="left"/>
      <w:pPr>
        <w:tabs>
          <w:tab w:val="num" w:pos="1800"/>
        </w:tabs>
        <w:ind w:left="1800" w:hanging="360"/>
      </w:pPr>
      <w:rPr>
        <w:rFonts w:ascii="Arial" w:hAnsi="Arial" w:hint="default"/>
      </w:rPr>
    </w:lvl>
    <w:lvl w:ilvl="3" w:tplc="FAB0F256" w:tentative="1">
      <w:start w:val="1"/>
      <w:numFmt w:val="bullet"/>
      <w:lvlText w:val="•"/>
      <w:lvlJc w:val="left"/>
      <w:pPr>
        <w:tabs>
          <w:tab w:val="num" w:pos="2520"/>
        </w:tabs>
        <w:ind w:left="2520" w:hanging="360"/>
      </w:pPr>
      <w:rPr>
        <w:rFonts w:ascii="Arial" w:hAnsi="Arial" w:hint="default"/>
      </w:rPr>
    </w:lvl>
    <w:lvl w:ilvl="4" w:tplc="8D964E02" w:tentative="1">
      <w:start w:val="1"/>
      <w:numFmt w:val="bullet"/>
      <w:lvlText w:val="•"/>
      <w:lvlJc w:val="left"/>
      <w:pPr>
        <w:tabs>
          <w:tab w:val="num" w:pos="3240"/>
        </w:tabs>
        <w:ind w:left="3240" w:hanging="360"/>
      </w:pPr>
      <w:rPr>
        <w:rFonts w:ascii="Arial" w:hAnsi="Arial" w:hint="default"/>
      </w:rPr>
    </w:lvl>
    <w:lvl w:ilvl="5" w:tplc="F4FC24CA" w:tentative="1">
      <w:start w:val="1"/>
      <w:numFmt w:val="bullet"/>
      <w:lvlText w:val="•"/>
      <w:lvlJc w:val="left"/>
      <w:pPr>
        <w:tabs>
          <w:tab w:val="num" w:pos="3960"/>
        </w:tabs>
        <w:ind w:left="3960" w:hanging="360"/>
      </w:pPr>
      <w:rPr>
        <w:rFonts w:ascii="Arial" w:hAnsi="Arial" w:hint="default"/>
      </w:rPr>
    </w:lvl>
    <w:lvl w:ilvl="6" w:tplc="C60066D2" w:tentative="1">
      <w:start w:val="1"/>
      <w:numFmt w:val="bullet"/>
      <w:lvlText w:val="•"/>
      <w:lvlJc w:val="left"/>
      <w:pPr>
        <w:tabs>
          <w:tab w:val="num" w:pos="4680"/>
        </w:tabs>
        <w:ind w:left="4680" w:hanging="360"/>
      </w:pPr>
      <w:rPr>
        <w:rFonts w:ascii="Arial" w:hAnsi="Arial" w:hint="default"/>
      </w:rPr>
    </w:lvl>
    <w:lvl w:ilvl="7" w:tplc="253AAED0" w:tentative="1">
      <w:start w:val="1"/>
      <w:numFmt w:val="bullet"/>
      <w:lvlText w:val="•"/>
      <w:lvlJc w:val="left"/>
      <w:pPr>
        <w:tabs>
          <w:tab w:val="num" w:pos="5400"/>
        </w:tabs>
        <w:ind w:left="5400" w:hanging="360"/>
      </w:pPr>
      <w:rPr>
        <w:rFonts w:ascii="Arial" w:hAnsi="Arial" w:hint="default"/>
      </w:rPr>
    </w:lvl>
    <w:lvl w:ilvl="8" w:tplc="0D3E5102"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4C90B83"/>
    <w:multiLevelType w:val="hybridMultilevel"/>
    <w:tmpl w:val="925A1B14"/>
    <w:lvl w:ilvl="0" w:tplc="24729594">
      <w:start w:val="1"/>
      <w:numFmt w:val="bullet"/>
      <w:lvlText w:val="•"/>
      <w:lvlJc w:val="left"/>
      <w:pPr>
        <w:tabs>
          <w:tab w:val="num" w:pos="720"/>
        </w:tabs>
        <w:ind w:left="720" w:hanging="360"/>
      </w:pPr>
      <w:rPr>
        <w:rFonts w:ascii="Arial" w:hAnsi="Arial" w:hint="default"/>
      </w:rPr>
    </w:lvl>
    <w:lvl w:ilvl="1" w:tplc="BB52D864" w:tentative="1">
      <w:start w:val="1"/>
      <w:numFmt w:val="bullet"/>
      <w:lvlText w:val="•"/>
      <w:lvlJc w:val="left"/>
      <w:pPr>
        <w:tabs>
          <w:tab w:val="num" w:pos="1440"/>
        </w:tabs>
        <w:ind w:left="1440" w:hanging="360"/>
      </w:pPr>
      <w:rPr>
        <w:rFonts w:ascii="Arial" w:hAnsi="Arial" w:hint="default"/>
      </w:rPr>
    </w:lvl>
    <w:lvl w:ilvl="2" w:tplc="FB244380" w:tentative="1">
      <w:start w:val="1"/>
      <w:numFmt w:val="bullet"/>
      <w:lvlText w:val="•"/>
      <w:lvlJc w:val="left"/>
      <w:pPr>
        <w:tabs>
          <w:tab w:val="num" w:pos="2160"/>
        </w:tabs>
        <w:ind w:left="2160" w:hanging="360"/>
      </w:pPr>
      <w:rPr>
        <w:rFonts w:ascii="Arial" w:hAnsi="Arial" w:hint="default"/>
      </w:rPr>
    </w:lvl>
    <w:lvl w:ilvl="3" w:tplc="D878083E" w:tentative="1">
      <w:start w:val="1"/>
      <w:numFmt w:val="bullet"/>
      <w:lvlText w:val="•"/>
      <w:lvlJc w:val="left"/>
      <w:pPr>
        <w:tabs>
          <w:tab w:val="num" w:pos="2880"/>
        </w:tabs>
        <w:ind w:left="2880" w:hanging="360"/>
      </w:pPr>
      <w:rPr>
        <w:rFonts w:ascii="Arial" w:hAnsi="Arial" w:hint="default"/>
      </w:rPr>
    </w:lvl>
    <w:lvl w:ilvl="4" w:tplc="9D0AFD22" w:tentative="1">
      <w:start w:val="1"/>
      <w:numFmt w:val="bullet"/>
      <w:lvlText w:val="•"/>
      <w:lvlJc w:val="left"/>
      <w:pPr>
        <w:tabs>
          <w:tab w:val="num" w:pos="3600"/>
        </w:tabs>
        <w:ind w:left="3600" w:hanging="360"/>
      </w:pPr>
      <w:rPr>
        <w:rFonts w:ascii="Arial" w:hAnsi="Arial" w:hint="default"/>
      </w:rPr>
    </w:lvl>
    <w:lvl w:ilvl="5" w:tplc="84AA151E" w:tentative="1">
      <w:start w:val="1"/>
      <w:numFmt w:val="bullet"/>
      <w:lvlText w:val="•"/>
      <w:lvlJc w:val="left"/>
      <w:pPr>
        <w:tabs>
          <w:tab w:val="num" w:pos="4320"/>
        </w:tabs>
        <w:ind w:left="4320" w:hanging="360"/>
      </w:pPr>
      <w:rPr>
        <w:rFonts w:ascii="Arial" w:hAnsi="Arial" w:hint="default"/>
      </w:rPr>
    </w:lvl>
    <w:lvl w:ilvl="6" w:tplc="6D4A3934" w:tentative="1">
      <w:start w:val="1"/>
      <w:numFmt w:val="bullet"/>
      <w:lvlText w:val="•"/>
      <w:lvlJc w:val="left"/>
      <w:pPr>
        <w:tabs>
          <w:tab w:val="num" w:pos="5040"/>
        </w:tabs>
        <w:ind w:left="5040" w:hanging="360"/>
      </w:pPr>
      <w:rPr>
        <w:rFonts w:ascii="Arial" w:hAnsi="Arial" w:hint="default"/>
      </w:rPr>
    </w:lvl>
    <w:lvl w:ilvl="7" w:tplc="FCDACAA2" w:tentative="1">
      <w:start w:val="1"/>
      <w:numFmt w:val="bullet"/>
      <w:lvlText w:val="•"/>
      <w:lvlJc w:val="left"/>
      <w:pPr>
        <w:tabs>
          <w:tab w:val="num" w:pos="5760"/>
        </w:tabs>
        <w:ind w:left="5760" w:hanging="360"/>
      </w:pPr>
      <w:rPr>
        <w:rFonts w:ascii="Arial" w:hAnsi="Arial" w:hint="default"/>
      </w:rPr>
    </w:lvl>
    <w:lvl w:ilvl="8" w:tplc="20FA92D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BAE29F4"/>
    <w:multiLevelType w:val="hybridMultilevel"/>
    <w:tmpl w:val="F6A01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802893"/>
    <w:multiLevelType w:val="multilevel"/>
    <w:tmpl w:val="820A3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3263B1"/>
    <w:multiLevelType w:val="hybridMultilevel"/>
    <w:tmpl w:val="48F2C8E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4141F0C"/>
    <w:multiLevelType w:val="hybridMultilevel"/>
    <w:tmpl w:val="7E3C255A"/>
    <w:lvl w:ilvl="0" w:tplc="5E08E0D8">
      <w:start w:val="1"/>
      <w:numFmt w:val="bullet"/>
      <w:lvlText w:val="•"/>
      <w:lvlJc w:val="left"/>
      <w:pPr>
        <w:tabs>
          <w:tab w:val="num" w:pos="360"/>
        </w:tabs>
        <w:ind w:left="360" w:hanging="360"/>
      </w:pPr>
      <w:rPr>
        <w:rFonts w:ascii="Arial" w:hAnsi="Arial" w:hint="default"/>
      </w:rPr>
    </w:lvl>
    <w:lvl w:ilvl="1" w:tplc="6D9C5CF6">
      <w:numFmt w:val="bullet"/>
      <w:lvlText w:val="•"/>
      <w:lvlJc w:val="left"/>
      <w:pPr>
        <w:tabs>
          <w:tab w:val="num" w:pos="1080"/>
        </w:tabs>
        <w:ind w:left="1080" w:hanging="360"/>
      </w:pPr>
      <w:rPr>
        <w:rFonts w:ascii="Arial" w:hAnsi="Arial" w:hint="default"/>
      </w:rPr>
    </w:lvl>
    <w:lvl w:ilvl="2" w:tplc="C2B4F1DC" w:tentative="1">
      <w:start w:val="1"/>
      <w:numFmt w:val="bullet"/>
      <w:lvlText w:val="•"/>
      <w:lvlJc w:val="left"/>
      <w:pPr>
        <w:tabs>
          <w:tab w:val="num" w:pos="1800"/>
        </w:tabs>
        <w:ind w:left="1800" w:hanging="360"/>
      </w:pPr>
      <w:rPr>
        <w:rFonts w:ascii="Arial" w:hAnsi="Arial" w:hint="default"/>
      </w:rPr>
    </w:lvl>
    <w:lvl w:ilvl="3" w:tplc="3CFE3C26" w:tentative="1">
      <w:start w:val="1"/>
      <w:numFmt w:val="bullet"/>
      <w:lvlText w:val="•"/>
      <w:lvlJc w:val="left"/>
      <w:pPr>
        <w:tabs>
          <w:tab w:val="num" w:pos="2520"/>
        </w:tabs>
        <w:ind w:left="2520" w:hanging="360"/>
      </w:pPr>
      <w:rPr>
        <w:rFonts w:ascii="Arial" w:hAnsi="Arial" w:hint="default"/>
      </w:rPr>
    </w:lvl>
    <w:lvl w:ilvl="4" w:tplc="D1D211C2" w:tentative="1">
      <w:start w:val="1"/>
      <w:numFmt w:val="bullet"/>
      <w:lvlText w:val="•"/>
      <w:lvlJc w:val="left"/>
      <w:pPr>
        <w:tabs>
          <w:tab w:val="num" w:pos="3240"/>
        </w:tabs>
        <w:ind w:left="3240" w:hanging="360"/>
      </w:pPr>
      <w:rPr>
        <w:rFonts w:ascii="Arial" w:hAnsi="Arial" w:hint="default"/>
      </w:rPr>
    </w:lvl>
    <w:lvl w:ilvl="5" w:tplc="87EA96CA" w:tentative="1">
      <w:start w:val="1"/>
      <w:numFmt w:val="bullet"/>
      <w:lvlText w:val="•"/>
      <w:lvlJc w:val="left"/>
      <w:pPr>
        <w:tabs>
          <w:tab w:val="num" w:pos="3960"/>
        </w:tabs>
        <w:ind w:left="3960" w:hanging="360"/>
      </w:pPr>
      <w:rPr>
        <w:rFonts w:ascii="Arial" w:hAnsi="Arial" w:hint="default"/>
      </w:rPr>
    </w:lvl>
    <w:lvl w:ilvl="6" w:tplc="48A42046" w:tentative="1">
      <w:start w:val="1"/>
      <w:numFmt w:val="bullet"/>
      <w:lvlText w:val="•"/>
      <w:lvlJc w:val="left"/>
      <w:pPr>
        <w:tabs>
          <w:tab w:val="num" w:pos="4680"/>
        </w:tabs>
        <w:ind w:left="4680" w:hanging="360"/>
      </w:pPr>
      <w:rPr>
        <w:rFonts w:ascii="Arial" w:hAnsi="Arial" w:hint="default"/>
      </w:rPr>
    </w:lvl>
    <w:lvl w:ilvl="7" w:tplc="729C4044" w:tentative="1">
      <w:start w:val="1"/>
      <w:numFmt w:val="bullet"/>
      <w:lvlText w:val="•"/>
      <w:lvlJc w:val="left"/>
      <w:pPr>
        <w:tabs>
          <w:tab w:val="num" w:pos="5400"/>
        </w:tabs>
        <w:ind w:left="5400" w:hanging="360"/>
      </w:pPr>
      <w:rPr>
        <w:rFonts w:ascii="Arial" w:hAnsi="Arial" w:hint="default"/>
      </w:rPr>
    </w:lvl>
    <w:lvl w:ilvl="8" w:tplc="D102BC80" w:tentative="1">
      <w:start w:val="1"/>
      <w:numFmt w:val="bullet"/>
      <w:lvlText w:val="•"/>
      <w:lvlJc w:val="left"/>
      <w:pPr>
        <w:tabs>
          <w:tab w:val="num" w:pos="6120"/>
        </w:tabs>
        <w:ind w:left="6120" w:hanging="360"/>
      </w:pPr>
      <w:rPr>
        <w:rFonts w:ascii="Arial" w:hAnsi="Arial" w:hint="default"/>
      </w:rPr>
    </w:lvl>
  </w:abstractNum>
  <w:abstractNum w:abstractNumId="13" w15:restartNumberingAfterBreak="0">
    <w:nsid w:val="38DE4E30"/>
    <w:multiLevelType w:val="hybridMultilevel"/>
    <w:tmpl w:val="9A18F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5A3B70"/>
    <w:multiLevelType w:val="hybridMultilevel"/>
    <w:tmpl w:val="01569794"/>
    <w:lvl w:ilvl="0" w:tplc="3B3841A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C25678"/>
    <w:multiLevelType w:val="hybridMultilevel"/>
    <w:tmpl w:val="2156488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B36216D"/>
    <w:multiLevelType w:val="hybridMultilevel"/>
    <w:tmpl w:val="594076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1590726"/>
    <w:multiLevelType w:val="hybridMultilevel"/>
    <w:tmpl w:val="E7BEEFAC"/>
    <w:lvl w:ilvl="0" w:tplc="53EAB9DE">
      <w:start w:val="1"/>
      <w:numFmt w:val="bullet"/>
      <w:lvlText w:val="•"/>
      <w:lvlJc w:val="left"/>
      <w:pPr>
        <w:tabs>
          <w:tab w:val="num" w:pos="720"/>
        </w:tabs>
        <w:ind w:left="720" w:hanging="360"/>
      </w:pPr>
      <w:rPr>
        <w:rFonts w:ascii="Arial" w:hAnsi="Arial" w:hint="default"/>
      </w:rPr>
    </w:lvl>
    <w:lvl w:ilvl="1" w:tplc="22D6F22E" w:tentative="1">
      <w:start w:val="1"/>
      <w:numFmt w:val="bullet"/>
      <w:lvlText w:val="•"/>
      <w:lvlJc w:val="left"/>
      <w:pPr>
        <w:tabs>
          <w:tab w:val="num" w:pos="1440"/>
        </w:tabs>
        <w:ind w:left="1440" w:hanging="360"/>
      </w:pPr>
      <w:rPr>
        <w:rFonts w:ascii="Arial" w:hAnsi="Arial" w:hint="default"/>
      </w:rPr>
    </w:lvl>
    <w:lvl w:ilvl="2" w:tplc="8E68A3AE" w:tentative="1">
      <w:start w:val="1"/>
      <w:numFmt w:val="bullet"/>
      <w:lvlText w:val="•"/>
      <w:lvlJc w:val="left"/>
      <w:pPr>
        <w:tabs>
          <w:tab w:val="num" w:pos="2160"/>
        </w:tabs>
        <w:ind w:left="2160" w:hanging="360"/>
      </w:pPr>
      <w:rPr>
        <w:rFonts w:ascii="Arial" w:hAnsi="Arial" w:hint="default"/>
      </w:rPr>
    </w:lvl>
    <w:lvl w:ilvl="3" w:tplc="E25C9252" w:tentative="1">
      <w:start w:val="1"/>
      <w:numFmt w:val="bullet"/>
      <w:lvlText w:val="•"/>
      <w:lvlJc w:val="left"/>
      <w:pPr>
        <w:tabs>
          <w:tab w:val="num" w:pos="2880"/>
        </w:tabs>
        <w:ind w:left="2880" w:hanging="360"/>
      </w:pPr>
      <w:rPr>
        <w:rFonts w:ascii="Arial" w:hAnsi="Arial" w:hint="default"/>
      </w:rPr>
    </w:lvl>
    <w:lvl w:ilvl="4" w:tplc="C5AA9B4C" w:tentative="1">
      <w:start w:val="1"/>
      <w:numFmt w:val="bullet"/>
      <w:lvlText w:val="•"/>
      <w:lvlJc w:val="left"/>
      <w:pPr>
        <w:tabs>
          <w:tab w:val="num" w:pos="3600"/>
        </w:tabs>
        <w:ind w:left="3600" w:hanging="360"/>
      </w:pPr>
      <w:rPr>
        <w:rFonts w:ascii="Arial" w:hAnsi="Arial" w:hint="default"/>
      </w:rPr>
    </w:lvl>
    <w:lvl w:ilvl="5" w:tplc="2158907C" w:tentative="1">
      <w:start w:val="1"/>
      <w:numFmt w:val="bullet"/>
      <w:lvlText w:val="•"/>
      <w:lvlJc w:val="left"/>
      <w:pPr>
        <w:tabs>
          <w:tab w:val="num" w:pos="4320"/>
        </w:tabs>
        <w:ind w:left="4320" w:hanging="360"/>
      </w:pPr>
      <w:rPr>
        <w:rFonts w:ascii="Arial" w:hAnsi="Arial" w:hint="default"/>
      </w:rPr>
    </w:lvl>
    <w:lvl w:ilvl="6" w:tplc="82CC5DEA" w:tentative="1">
      <w:start w:val="1"/>
      <w:numFmt w:val="bullet"/>
      <w:lvlText w:val="•"/>
      <w:lvlJc w:val="left"/>
      <w:pPr>
        <w:tabs>
          <w:tab w:val="num" w:pos="5040"/>
        </w:tabs>
        <w:ind w:left="5040" w:hanging="360"/>
      </w:pPr>
      <w:rPr>
        <w:rFonts w:ascii="Arial" w:hAnsi="Arial" w:hint="default"/>
      </w:rPr>
    </w:lvl>
    <w:lvl w:ilvl="7" w:tplc="5E5C71D0" w:tentative="1">
      <w:start w:val="1"/>
      <w:numFmt w:val="bullet"/>
      <w:lvlText w:val="•"/>
      <w:lvlJc w:val="left"/>
      <w:pPr>
        <w:tabs>
          <w:tab w:val="num" w:pos="5760"/>
        </w:tabs>
        <w:ind w:left="5760" w:hanging="360"/>
      </w:pPr>
      <w:rPr>
        <w:rFonts w:ascii="Arial" w:hAnsi="Arial" w:hint="default"/>
      </w:rPr>
    </w:lvl>
    <w:lvl w:ilvl="8" w:tplc="D480E38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4A21B5E"/>
    <w:multiLevelType w:val="hybridMultilevel"/>
    <w:tmpl w:val="B26EB8D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5E9037C"/>
    <w:multiLevelType w:val="multilevel"/>
    <w:tmpl w:val="CB10AC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87D0E0E"/>
    <w:multiLevelType w:val="hybridMultilevel"/>
    <w:tmpl w:val="B434A4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D315CE2"/>
    <w:multiLevelType w:val="hybridMultilevel"/>
    <w:tmpl w:val="4C2A3BC2"/>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FDA7A10"/>
    <w:multiLevelType w:val="hybridMultilevel"/>
    <w:tmpl w:val="F7EA4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8A1C3A"/>
    <w:multiLevelType w:val="hybridMultilevel"/>
    <w:tmpl w:val="304893BE"/>
    <w:lvl w:ilvl="0" w:tplc="D8ACBF9A">
      <w:start w:val="1"/>
      <w:numFmt w:val="bullet"/>
      <w:lvlText w:val="•"/>
      <w:lvlJc w:val="left"/>
      <w:pPr>
        <w:tabs>
          <w:tab w:val="num" w:pos="360"/>
        </w:tabs>
        <w:ind w:left="360" w:hanging="360"/>
      </w:pPr>
      <w:rPr>
        <w:rFonts w:ascii="Arial" w:hAnsi="Aria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9738B562" w:tentative="1">
      <w:start w:val="1"/>
      <w:numFmt w:val="bullet"/>
      <w:lvlText w:val="•"/>
      <w:lvlJc w:val="left"/>
      <w:pPr>
        <w:tabs>
          <w:tab w:val="num" w:pos="1800"/>
        </w:tabs>
        <w:ind w:left="1800" w:hanging="360"/>
      </w:pPr>
      <w:rPr>
        <w:rFonts w:ascii="Arial" w:hAnsi="Arial" w:hint="default"/>
      </w:rPr>
    </w:lvl>
    <w:lvl w:ilvl="3" w:tplc="FAB0F256" w:tentative="1">
      <w:start w:val="1"/>
      <w:numFmt w:val="bullet"/>
      <w:lvlText w:val="•"/>
      <w:lvlJc w:val="left"/>
      <w:pPr>
        <w:tabs>
          <w:tab w:val="num" w:pos="2520"/>
        </w:tabs>
        <w:ind w:left="2520" w:hanging="360"/>
      </w:pPr>
      <w:rPr>
        <w:rFonts w:ascii="Arial" w:hAnsi="Arial" w:hint="default"/>
      </w:rPr>
    </w:lvl>
    <w:lvl w:ilvl="4" w:tplc="8D964E02" w:tentative="1">
      <w:start w:val="1"/>
      <w:numFmt w:val="bullet"/>
      <w:lvlText w:val="•"/>
      <w:lvlJc w:val="left"/>
      <w:pPr>
        <w:tabs>
          <w:tab w:val="num" w:pos="3240"/>
        </w:tabs>
        <w:ind w:left="3240" w:hanging="360"/>
      </w:pPr>
      <w:rPr>
        <w:rFonts w:ascii="Arial" w:hAnsi="Arial" w:hint="default"/>
      </w:rPr>
    </w:lvl>
    <w:lvl w:ilvl="5" w:tplc="F4FC24CA" w:tentative="1">
      <w:start w:val="1"/>
      <w:numFmt w:val="bullet"/>
      <w:lvlText w:val="•"/>
      <w:lvlJc w:val="left"/>
      <w:pPr>
        <w:tabs>
          <w:tab w:val="num" w:pos="3960"/>
        </w:tabs>
        <w:ind w:left="3960" w:hanging="360"/>
      </w:pPr>
      <w:rPr>
        <w:rFonts w:ascii="Arial" w:hAnsi="Arial" w:hint="default"/>
      </w:rPr>
    </w:lvl>
    <w:lvl w:ilvl="6" w:tplc="C60066D2" w:tentative="1">
      <w:start w:val="1"/>
      <w:numFmt w:val="bullet"/>
      <w:lvlText w:val="•"/>
      <w:lvlJc w:val="left"/>
      <w:pPr>
        <w:tabs>
          <w:tab w:val="num" w:pos="4680"/>
        </w:tabs>
        <w:ind w:left="4680" w:hanging="360"/>
      </w:pPr>
      <w:rPr>
        <w:rFonts w:ascii="Arial" w:hAnsi="Arial" w:hint="default"/>
      </w:rPr>
    </w:lvl>
    <w:lvl w:ilvl="7" w:tplc="253AAED0" w:tentative="1">
      <w:start w:val="1"/>
      <w:numFmt w:val="bullet"/>
      <w:lvlText w:val="•"/>
      <w:lvlJc w:val="left"/>
      <w:pPr>
        <w:tabs>
          <w:tab w:val="num" w:pos="5400"/>
        </w:tabs>
        <w:ind w:left="5400" w:hanging="360"/>
      </w:pPr>
      <w:rPr>
        <w:rFonts w:ascii="Arial" w:hAnsi="Arial" w:hint="default"/>
      </w:rPr>
    </w:lvl>
    <w:lvl w:ilvl="8" w:tplc="0D3E5102" w:tentative="1">
      <w:start w:val="1"/>
      <w:numFmt w:val="bullet"/>
      <w:lvlText w:val="•"/>
      <w:lvlJc w:val="left"/>
      <w:pPr>
        <w:tabs>
          <w:tab w:val="num" w:pos="6120"/>
        </w:tabs>
        <w:ind w:left="6120" w:hanging="360"/>
      </w:pPr>
      <w:rPr>
        <w:rFonts w:ascii="Arial" w:hAnsi="Arial" w:hint="default"/>
      </w:rPr>
    </w:lvl>
  </w:abstractNum>
  <w:abstractNum w:abstractNumId="24" w15:restartNumberingAfterBreak="0">
    <w:nsid w:val="66144A94"/>
    <w:multiLevelType w:val="hybridMultilevel"/>
    <w:tmpl w:val="BD2CF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6C1DD7"/>
    <w:multiLevelType w:val="hybridMultilevel"/>
    <w:tmpl w:val="B8B2339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D291059"/>
    <w:multiLevelType w:val="multilevel"/>
    <w:tmpl w:val="98FC9D8E"/>
    <w:lvl w:ilvl="0">
      <w:start w:val="1"/>
      <w:numFmt w:val="decimal"/>
      <w:lvlText w:val="%1."/>
      <w:lvlJc w:val="left"/>
      <w:pPr>
        <w:ind w:left="72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6DDD1605"/>
    <w:multiLevelType w:val="hybridMultilevel"/>
    <w:tmpl w:val="A4140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5E274B"/>
    <w:multiLevelType w:val="hybridMultilevel"/>
    <w:tmpl w:val="276485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FF70D05"/>
    <w:multiLevelType w:val="hybridMultilevel"/>
    <w:tmpl w:val="276006C2"/>
    <w:lvl w:ilvl="0" w:tplc="415600C6">
      <w:start w:val="1"/>
      <w:numFmt w:val="bullet"/>
      <w:lvlText w:val="-"/>
      <w:lvlJc w:val="left"/>
      <w:pPr>
        <w:ind w:left="720" w:hanging="360"/>
      </w:pPr>
      <w:rPr>
        <w:rFonts w:ascii="Calibri" w:eastAsiaTheme="minorHAnsi" w:hAnsi="Calibri" w:cs="Calibri"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3"/>
  </w:num>
  <w:num w:numId="4">
    <w:abstractNumId w:val="17"/>
  </w:num>
  <w:num w:numId="5">
    <w:abstractNumId w:val="26"/>
  </w:num>
  <w:num w:numId="6">
    <w:abstractNumId w:val="28"/>
  </w:num>
  <w:num w:numId="7">
    <w:abstractNumId w:val="29"/>
  </w:num>
  <w:num w:numId="8">
    <w:abstractNumId w:val="13"/>
  </w:num>
  <w:num w:numId="9">
    <w:abstractNumId w:val="4"/>
  </w:num>
  <w:num w:numId="10">
    <w:abstractNumId w:val="22"/>
  </w:num>
  <w:num w:numId="11">
    <w:abstractNumId w:val="24"/>
  </w:num>
  <w:num w:numId="12">
    <w:abstractNumId w:val="14"/>
  </w:num>
  <w:num w:numId="13">
    <w:abstractNumId w:val="20"/>
  </w:num>
  <w:num w:numId="14">
    <w:abstractNumId w:val="7"/>
  </w:num>
  <w:num w:numId="15">
    <w:abstractNumId w:val="12"/>
  </w:num>
  <w:num w:numId="16">
    <w:abstractNumId w:val="9"/>
  </w:num>
  <w:num w:numId="17">
    <w:abstractNumId w:val="23"/>
  </w:num>
  <w:num w:numId="18">
    <w:abstractNumId w:val="21"/>
  </w:num>
  <w:num w:numId="19">
    <w:abstractNumId w:val="18"/>
  </w:num>
  <w:num w:numId="20">
    <w:abstractNumId w:val="15"/>
  </w:num>
  <w:num w:numId="21">
    <w:abstractNumId w:val="2"/>
  </w:num>
  <w:num w:numId="22">
    <w:abstractNumId w:val="27"/>
  </w:num>
  <w:num w:numId="23">
    <w:abstractNumId w:val="10"/>
  </w:num>
  <w:num w:numId="24">
    <w:abstractNumId w:val="5"/>
  </w:num>
  <w:num w:numId="25">
    <w:abstractNumId w:val="11"/>
  </w:num>
  <w:num w:numId="26">
    <w:abstractNumId w:val="25"/>
  </w:num>
  <w:num w:numId="27">
    <w:abstractNumId w:val="6"/>
  </w:num>
  <w:num w:numId="28">
    <w:abstractNumId w:val="16"/>
  </w:num>
  <w:num w:numId="29">
    <w:abstractNumId w:val="0"/>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2E8"/>
    <w:rsid w:val="00002F6C"/>
    <w:rsid w:val="000450F5"/>
    <w:rsid w:val="0006552E"/>
    <w:rsid w:val="000811AC"/>
    <w:rsid w:val="000821C1"/>
    <w:rsid w:val="00082D6E"/>
    <w:rsid w:val="000F0EBE"/>
    <w:rsid w:val="001631C7"/>
    <w:rsid w:val="001755A9"/>
    <w:rsid w:val="001A4E85"/>
    <w:rsid w:val="001D4427"/>
    <w:rsid w:val="001F2C54"/>
    <w:rsid w:val="00211882"/>
    <w:rsid w:val="00240443"/>
    <w:rsid w:val="00267875"/>
    <w:rsid w:val="00273E85"/>
    <w:rsid w:val="002922EE"/>
    <w:rsid w:val="002A3113"/>
    <w:rsid w:val="002E11AB"/>
    <w:rsid w:val="002E35C4"/>
    <w:rsid w:val="002F56A3"/>
    <w:rsid w:val="003445B1"/>
    <w:rsid w:val="00346410"/>
    <w:rsid w:val="00391B85"/>
    <w:rsid w:val="003C14BB"/>
    <w:rsid w:val="003D631F"/>
    <w:rsid w:val="00411DBB"/>
    <w:rsid w:val="00411EC2"/>
    <w:rsid w:val="0046348C"/>
    <w:rsid w:val="004828E5"/>
    <w:rsid w:val="004854E3"/>
    <w:rsid w:val="004D3574"/>
    <w:rsid w:val="00526E19"/>
    <w:rsid w:val="00577D28"/>
    <w:rsid w:val="00593B83"/>
    <w:rsid w:val="00597DC4"/>
    <w:rsid w:val="005B5FCC"/>
    <w:rsid w:val="005E5260"/>
    <w:rsid w:val="00633095"/>
    <w:rsid w:val="00644559"/>
    <w:rsid w:val="00645121"/>
    <w:rsid w:val="006E18BD"/>
    <w:rsid w:val="006F6C4C"/>
    <w:rsid w:val="007533BD"/>
    <w:rsid w:val="007564CD"/>
    <w:rsid w:val="00785BFA"/>
    <w:rsid w:val="007C4A93"/>
    <w:rsid w:val="00801DB6"/>
    <w:rsid w:val="00810E79"/>
    <w:rsid w:val="008C58CA"/>
    <w:rsid w:val="008D4588"/>
    <w:rsid w:val="008E1B7E"/>
    <w:rsid w:val="009134CA"/>
    <w:rsid w:val="00926C09"/>
    <w:rsid w:val="00930D30"/>
    <w:rsid w:val="00932823"/>
    <w:rsid w:val="00955157"/>
    <w:rsid w:val="00997DB0"/>
    <w:rsid w:val="009E5D65"/>
    <w:rsid w:val="009F72E8"/>
    <w:rsid w:val="00A549AE"/>
    <w:rsid w:val="00A8518B"/>
    <w:rsid w:val="00AB1599"/>
    <w:rsid w:val="00AD2E9C"/>
    <w:rsid w:val="00AD4130"/>
    <w:rsid w:val="00B14B81"/>
    <w:rsid w:val="00B4562C"/>
    <w:rsid w:val="00B82CD9"/>
    <w:rsid w:val="00B837DB"/>
    <w:rsid w:val="00B905FB"/>
    <w:rsid w:val="00BB76E8"/>
    <w:rsid w:val="00BC4193"/>
    <w:rsid w:val="00BC5612"/>
    <w:rsid w:val="00C35BCC"/>
    <w:rsid w:val="00C41EE9"/>
    <w:rsid w:val="00C912BA"/>
    <w:rsid w:val="00CD2E3E"/>
    <w:rsid w:val="00D148AE"/>
    <w:rsid w:val="00D82CE8"/>
    <w:rsid w:val="00D938A0"/>
    <w:rsid w:val="00D94531"/>
    <w:rsid w:val="00DD5EE8"/>
    <w:rsid w:val="00E06910"/>
    <w:rsid w:val="00E10602"/>
    <w:rsid w:val="00E114CB"/>
    <w:rsid w:val="00E81CCB"/>
    <w:rsid w:val="00EB66D8"/>
    <w:rsid w:val="00ED167F"/>
    <w:rsid w:val="00F7304D"/>
    <w:rsid w:val="00F82C07"/>
    <w:rsid w:val="00F97D9B"/>
    <w:rsid w:val="00FB5597"/>
    <w:rsid w:val="00FC6E42"/>
    <w:rsid w:val="04896939"/>
    <w:rsid w:val="09CD1589"/>
    <w:rsid w:val="121563A8"/>
    <w:rsid w:val="16C14E25"/>
    <w:rsid w:val="24BB1AC6"/>
    <w:rsid w:val="26B08184"/>
    <w:rsid w:val="4333A410"/>
    <w:rsid w:val="43B7D632"/>
    <w:rsid w:val="462F1A71"/>
    <w:rsid w:val="4C95B0D5"/>
    <w:rsid w:val="4FE3B949"/>
    <w:rsid w:val="56F05D2C"/>
    <w:rsid w:val="59EA5C12"/>
    <w:rsid w:val="5C362767"/>
    <w:rsid w:val="5F6DC829"/>
    <w:rsid w:val="6534FC3F"/>
    <w:rsid w:val="72E79218"/>
    <w:rsid w:val="7396274B"/>
    <w:rsid w:val="7742AD15"/>
    <w:rsid w:val="7A5EFF2C"/>
    <w:rsid w:val="7FE79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967DC"/>
  <w15:chartTrackingRefBased/>
  <w15:docId w15:val="{AE41F79C-7DA8-4524-862D-B5FBDB053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910"/>
    <w:pPr>
      <w:jc w:val="both"/>
    </w:pPr>
    <w:rPr>
      <w:sz w:val="24"/>
    </w:rPr>
  </w:style>
  <w:style w:type="paragraph" w:styleId="Heading1">
    <w:name w:val="heading 1"/>
    <w:basedOn w:val="Normal"/>
    <w:next w:val="Normal"/>
    <w:link w:val="Heading1Char"/>
    <w:uiPriority w:val="9"/>
    <w:qFormat/>
    <w:rsid w:val="000450F5"/>
    <w:pPr>
      <w:keepNext/>
      <w:keepLines/>
      <w:pBdr>
        <w:top w:val="double" w:sz="4" w:space="1" w:color="EB861D"/>
        <w:bottom w:val="double" w:sz="4" w:space="1" w:color="EB861D"/>
      </w:pBdr>
      <w:spacing w:before="240" w:after="0"/>
      <w:outlineLvl w:val="0"/>
    </w:pPr>
    <w:rPr>
      <w:rFonts w:asciiTheme="majorHAnsi" w:eastAsiaTheme="majorEastAsia" w:hAnsiTheme="majorHAnsi"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6E19"/>
    <w:pPr>
      <w:ind w:left="720"/>
      <w:contextualSpacing/>
    </w:pPr>
  </w:style>
  <w:style w:type="character" w:styleId="CommentReference">
    <w:name w:val="annotation reference"/>
    <w:basedOn w:val="DefaultParagraphFont"/>
    <w:uiPriority w:val="99"/>
    <w:semiHidden/>
    <w:unhideWhenUsed/>
    <w:rsid w:val="004D3574"/>
    <w:rPr>
      <w:sz w:val="16"/>
      <w:szCs w:val="16"/>
    </w:rPr>
  </w:style>
  <w:style w:type="paragraph" w:styleId="CommentText">
    <w:name w:val="annotation text"/>
    <w:basedOn w:val="Normal"/>
    <w:link w:val="CommentTextChar"/>
    <w:uiPriority w:val="99"/>
    <w:semiHidden/>
    <w:unhideWhenUsed/>
    <w:rsid w:val="004D3574"/>
    <w:pPr>
      <w:spacing w:line="240" w:lineRule="auto"/>
    </w:pPr>
    <w:rPr>
      <w:sz w:val="20"/>
      <w:szCs w:val="20"/>
    </w:rPr>
  </w:style>
  <w:style w:type="character" w:customStyle="1" w:styleId="CommentTextChar">
    <w:name w:val="Comment Text Char"/>
    <w:basedOn w:val="DefaultParagraphFont"/>
    <w:link w:val="CommentText"/>
    <w:uiPriority w:val="99"/>
    <w:semiHidden/>
    <w:rsid w:val="004D3574"/>
    <w:rPr>
      <w:sz w:val="20"/>
      <w:szCs w:val="20"/>
    </w:rPr>
  </w:style>
  <w:style w:type="paragraph" w:styleId="CommentSubject">
    <w:name w:val="annotation subject"/>
    <w:basedOn w:val="CommentText"/>
    <w:next w:val="CommentText"/>
    <w:link w:val="CommentSubjectChar"/>
    <w:uiPriority w:val="99"/>
    <w:semiHidden/>
    <w:unhideWhenUsed/>
    <w:rsid w:val="004D3574"/>
    <w:rPr>
      <w:b/>
      <w:bCs/>
    </w:rPr>
  </w:style>
  <w:style w:type="character" w:customStyle="1" w:styleId="CommentSubjectChar">
    <w:name w:val="Comment Subject Char"/>
    <w:basedOn w:val="CommentTextChar"/>
    <w:link w:val="CommentSubject"/>
    <w:uiPriority w:val="99"/>
    <w:semiHidden/>
    <w:rsid w:val="004D3574"/>
    <w:rPr>
      <w:b/>
      <w:bCs/>
      <w:sz w:val="20"/>
      <w:szCs w:val="20"/>
    </w:rPr>
  </w:style>
  <w:style w:type="paragraph" w:styleId="Header">
    <w:name w:val="header"/>
    <w:basedOn w:val="Normal"/>
    <w:link w:val="HeaderChar"/>
    <w:uiPriority w:val="99"/>
    <w:unhideWhenUsed/>
    <w:rsid w:val="004D35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3574"/>
  </w:style>
  <w:style w:type="paragraph" w:styleId="Footer">
    <w:name w:val="footer"/>
    <w:basedOn w:val="Normal"/>
    <w:link w:val="FooterChar"/>
    <w:uiPriority w:val="99"/>
    <w:unhideWhenUsed/>
    <w:rsid w:val="004D35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3574"/>
  </w:style>
  <w:style w:type="paragraph" w:styleId="BalloonText">
    <w:name w:val="Balloon Text"/>
    <w:basedOn w:val="Normal"/>
    <w:link w:val="BalloonTextChar"/>
    <w:uiPriority w:val="99"/>
    <w:semiHidden/>
    <w:unhideWhenUsed/>
    <w:rsid w:val="00C41E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EE9"/>
    <w:rPr>
      <w:rFonts w:ascii="Segoe UI" w:hAnsi="Segoe UI" w:cs="Segoe UI"/>
      <w:sz w:val="18"/>
      <w:szCs w:val="18"/>
    </w:rPr>
  </w:style>
  <w:style w:type="table" w:styleId="TableGrid">
    <w:name w:val="Table Grid"/>
    <w:basedOn w:val="TableNormal"/>
    <w:uiPriority w:val="39"/>
    <w:rsid w:val="001A4E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411DBB"/>
    <w:pPr>
      <w:spacing w:after="0" w:line="240" w:lineRule="auto"/>
    </w:pPr>
    <w:rPr>
      <w:sz w:val="20"/>
      <w:szCs w:val="20"/>
    </w:rPr>
  </w:style>
  <w:style w:type="character" w:customStyle="1" w:styleId="FootnoteTextChar">
    <w:name w:val="Footnote Text Char"/>
    <w:basedOn w:val="DefaultParagraphFont"/>
    <w:link w:val="FootnoteText"/>
    <w:uiPriority w:val="99"/>
    <w:rsid w:val="00411DBB"/>
    <w:rPr>
      <w:sz w:val="20"/>
      <w:szCs w:val="20"/>
    </w:rPr>
  </w:style>
  <w:style w:type="character" w:styleId="FootnoteReference">
    <w:name w:val="footnote reference"/>
    <w:basedOn w:val="DefaultParagraphFont"/>
    <w:uiPriority w:val="99"/>
    <w:semiHidden/>
    <w:unhideWhenUsed/>
    <w:rsid w:val="00411DBB"/>
    <w:rPr>
      <w:vertAlign w:val="superscript"/>
    </w:rPr>
  </w:style>
  <w:style w:type="paragraph" w:styleId="Revision">
    <w:name w:val="Revision"/>
    <w:hidden/>
    <w:uiPriority w:val="99"/>
    <w:semiHidden/>
    <w:rsid w:val="00082D6E"/>
    <w:pPr>
      <w:spacing w:after="0" w:line="240" w:lineRule="auto"/>
    </w:pPr>
  </w:style>
  <w:style w:type="character" w:customStyle="1" w:styleId="Heading1Char">
    <w:name w:val="Heading 1 Char"/>
    <w:basedOn w:val="DefaultParagraphFont"/>
    <w:link w:val="Heading1"/>
    <w:uiPriority w:val="9"/>
    <w:rsid w:val="000450F5"/>
    <w:rPr>
      <w:rFonts w:asciiTheme="majorHAnsi" w:eastAsiaTheme="majorEastAsia" w:hAnsiTheme="majorHAnsi" w:cstheme="majorBidi"/>
      <w:sz w:val="32"/>
      <w:szCs w:val="32"/>
    </w:rPr>
  </w:style>
  <w:style w:type="character" w:styleId="Hyperlink">
    <w:name w:val="Hyperlink"/>
    <w:basedOn w:val="DefaultParagraphFont"/>
    <w:uiPriority w:val="99"/>
    <w:unhideWhenUsed/>
    <w:rsid w:val="009E5D65"/>
    <w:rPr>
      <w:color w:val="0563C1" w:themeColor="hyperlink"/>
      <w:u w:val="single"/>
    </w:rPr>
  </w:style>
  <w:style w:type="character" w:customStyle="1" w:styleId="UnresolvedMention1">
    <w:name w:val="Unresolved Mention1"/>
    <w:basedOn w:val="DefaultParagraphFont"/>
    <w:uiPriority w:val="99"/>
    <w:semiHidden/>
    <w:unhideWhenUsed/>
    <w:rsid w:val="009E5D65"/>
    <w:rPr>
      <w:color w:val="605E5C"/>
      <w:shd w:val="clear" w:color="auto" w:fill="E1DFDD"/>
    </w:rPr>
  </w:style>
  <w:style w:type="character" w:styleId="FollowedHyperlink">
    <w:name w:val="FollowedHyperlink"/>
    <w:basedOn w:val="DefaultParagraphFont"/>
    <w:uiPriority w:val="99"/>
    <w:semiHidden/>
    <w:unhideWhenUsed/>
    <w:rsid w:val="009E5D65"/>
    <w:rPr>
      <w:color w:val="954F72" w:themeColor="followedHyperlink"/>
      <w:u w:val="single"/>
    </w:rPr>
  </w:style>
  <w:style w:type="paragraph" w:styleId="Title">
    <w:name w:val="Title"/>
    <w:basedOn w:val="Normal"/>
    <w:next w:val="Normal"/>
    <w:link w:val="TitleChar"/>
    <w:uiPriority w:val="10"/>
    <w:qFormat/>
    <w:rsid w:val="003445B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445B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688565">
      <w:bodyDiv w:val="1"/>
      <w:marLeft w:val="0"/>
      <w:marRight w:val="0"/>
      <w:marTop w:val="0"/>
      <w:marBottom w:val="0"/>
      <w:divBdr>
        <w:top w:val="none" w:sz="0" w:space="0" w:color="auto"/>
        <w:left w:val="none" w:sz="0" w:space="0" w:color="auto"/>
        <w:bottom w:val="none" w:sz="0" w:space="0" w:color="auto"/>
        <w:right w:val="none" w:sz="0" w:space="0" w:color="auto"/>
      </w:divBdr>
    </w:div>
    <w:div w:id="103200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4.jpg"/><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70B13E1B46894987A56CE1DAEBC7BE" ma:contentTypeVersion="12" ma:contentTypeDescription="Create a new document." ma:contentTypeScope="" ma:versionID="47d4fea00a3fb31adbbecd84d0399868">
  <xsd:schema xmlns:xsd="http://www.w3.org/2001/XMLSchema" xmlns:xs="http://www.w3.org/2001/XMLSchema" xmlns:p="http://schemas.microsoft.com/office/2006/metadata/properties" xmlns:ns2="cc7ce8ca-8f52-44ec-9496-3c41d0f5ad18" xmlns:ns3="5ef6eb03-9133-4e0c-85f7-7fcffca7dd31" targetNamespace="http://schemas.microsoft.com/office/2006/metadata/properties" ma:root="true" ma:fieldsID="ef760895eb7adf04360e39c235957fac" ns2:_="" ns3:_="">
    <xsd:import namespace="cc7ce8ca-8f52-44ec-9496-3c41d0f5ad18"/>
    <xsd:import namespace="5ef6eb03-9133-4e0c-85f7-7fcffca7dd3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7ce8ca-8f52-44ec-9496-3c41d0f5ad1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f6eb03-9133-4e0c-85f7-7fcffca7dd3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c7ce8ca-8f52-44ec-9496-3c41d0f5ad18">
      <UserInfo>
        <DisplayName>Pirelli, Tiziana (OCBD)</DisplayName>
        <AccountId>25981</AccountId>
        <AccountType/>
      </UserInfo>
      <UserInfo>
        <DisplayName>Rossi, Andrea (OCBD)</DisplayName>
        <AccountId>26207</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A98A78-3F85-48A4-8C07-21482B50E8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7ce8ca-8f52-44ec-9496-3c41d0f5ad18"/>
    <ds:schemaRef ds:uri="5ef6eb03-9133-4e0c-85f7-7fcffca7dd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A9A916-9810-4839-8434-2ED93B23D48F}">
  <ds:schemaRefs>
    <ds:schemaRef ds:uri="http://schemas.microsoft.com/sharepoint/v3/contenttype/forms"/>
  </ds:schemaRefs>
</ds:datastoreItem>
</file>

<file path=customXml/itemProps3.xml><?xml version="1.0" encoding="utf-8"?>
<ds:datastoreItem xmlns:ds="http://schemas.openxmlformats.org/officeDocument/2006/customXml" ds:itemID="{F6335593-BFF0-4506-A846-C25C3A631117}">
  <ds:schemaRefs>
    <ds:schemaRef ds:uri="cc7ce8ca-8f52-44ec-9496-3c41d0f5ad18"/>
    <ds:schemaRef ds:uri="http://purl.org/dc/terms/"/>
    <ds:schemaRef ds:uri="http://purl.org/dc/elements/1.1/"/>
    <ds:schemaRef ds:uri="5ef6eb03-9133-4e0c-85f7-7fcffca7dd31"/>
    <ds:schemaRef ds:uri="http://purl.org/dc/dcmitype/"/>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6382AF27-67D3-4834-A1F3-900A31F2B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8</Pages>
  <Words>1413</Words>
  <Characters>8059</Characters>
  <Application>Microsoft Office Word</Application>
  <DocSecurity>0</DocSecurity>
  <Lines>67</Lines>
  <Paragraphs>18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9454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Rossi</dc:creator>
  <cp:keywords/>
  <dc:description/>
  <cp:lastModifiedBy>Miller, Constance (OCBD)</cp:lastModifiedBy>
  <cp:revision>36</cp:revision>
  <dcterms:created xsi:type="dcterms:W3CDTF">2021-11-08T13:26:00Z</dcterms:created>
  <dcterms:modified xsi:type="dcterms:W3CDTF">2021-12-03T10:24:00Z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0x0101004C70B13E1B46894987A56CE1DAEBC7BE</vt:lpwstr>
  </property>
</Properties>
</file>